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In March, 2018, after DHS had terminated TPS for Haiti, Sudan, Nicaragua, and El Salvador, TPS holders from those countries sued challenging those terminations in the 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Ramos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case in the US District Court for the Northern District of California.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Arial"/>
          <w:sz w:val="26"/>
          <w:szCs w:val="26"/>
          <w:shd w:val="clear" w:color="auto" w:fill="ffffff"/>
          <w:rtl w:val="0"/>
        </w:rPr>
        <w:t>(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Ramos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is one of at least four federal court cases challenging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the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decision to end Haiti TPS; in another,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da-DK"/>
        </w:rPr>
        <w:t>Saget</w:t>
      </w:r>
      <w:r>
        <w:rPr>
          <w:rFonts w:hAnsi="Arial" w:hint="default"/>
          <w:i w:val="1"/>
          <w:iCs w:val="1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</w:rPr>
        <w:t>v. Trump,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in the Eastern District of New York, trial was held January 7-10 and a decision is expected after February.</w:t>
      </w:r>
      <w:r>
        <w:rPr>
          <w:rFonts w:ascii="Arial"/>
          <w:sz w:val="24"/>
          <w:szCs w:val="24"/>
          <w:shd w:val="clear" w:color="auto" w:fill="ffffff"/>
          <w:rtl w:val="0"/>
        </w:rPr>
        <w:t>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There</w:t>
      </w:r>
      <w:r>
        <w:rPr>
          <w:rFonts w:hAnsi="Arial" w:hint="default"/>
          <w:sz w:val="26"/>
          <w:szCs w:val="26"/>
          <w:shd w:val="clear" w:color="auto" w:fill="ffffff"/>
          <w:rtl w:val="0"/>
          <w:lang w:val="en-US"/>
        </w:rPr>
        <w:t>’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s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been a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big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victory in 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Ramos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of practical importance to all Haitians with TPS</w:t>
      </w:r>
      <w:r>
        <w:rPr>
          <w:rFonts w:ascii="Arial"/>
          <w:sz w:val="26"/>
          <w:szCs w:val="26"/>
          <w:shd w:val="clear" w:color="auto" w:fill="ffffff"/>
          <w:rtl w:val="0"/>
        </w:rPr>
        <w:t>.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On October 3, 2018, Judge Chen issued a preliminary injunction blocking DHS from ending TPS for Haiti, Sudan, Nicaragua, and El Salvador.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The government appealed but has agreed to certain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extremely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important protections during the many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, many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months until 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en-US"/>
        </w:rPr>
        <w:t>Ramos</w:t>
      </w:r>
      <w:r>
        <w:rPr>
          <w:rFonts w:ascii="Arial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will be finally resolv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ed on appeal.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First, soon after the judge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s October 3 order, the government published a Federal Register Notice that it won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t end TPS for Sudan and Nicaragua during the six months between October 3 and April 2, 2019, which it had been planning to do.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 See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October 31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hyperlink r:id="rId4" w:history="1">
        <w:r>
          <w:rPr>
            <w:rStyle w:val="Hyperlink.0"/>
            <w:rFonts w:ascii="Arial"/>
            <w:color w:val="0000ff"/>
            <w:sz w:val="26"/>
            <w:szCs w:val="26"/>
            <w:u w:val="single" w:color="0000ff"/>
            <w:shd w:val="clear" w:color="auto" w:fill="ffffff"/>
            <w:rtl w:val="0"/>
            <w:lang w:val="en-US"/>
          </w:rPr>
          <w:t>Federal Register Notice</w:t>
        </w:r>
      </w:hyperlink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("FRN") ("Continuation of Documentation for Beneficiaries of Temporary Protected Status Designations for Sudan, Nicaragua, Haiti, and El Salvador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”</w:t>
      </w:r>
      <w:r>
        <w:rPr>
          <w:rFonts w:ascii="Arial"/>
          <w:sz w:val="26"/>
          <w:szCs w:val="26"/>
          <w:shd w:val="clear" w:color="auto" w:fill="ffffff"/>
          <w:rtl w:val="0"/>
        </w:rPr>
        <w:t>)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Arial"/>
          <w:b w:val="0"/>
          <w:bCs w:val="0"/>
          <w:sz w:val="26"/>
          <w:szCs w:val="26"/>
          <w:shd w:val="clear" w:color="auto" w:fill="ffffff"/>
          <w:rtl w:val="0"/>
          <w:lang w:val="en-US"/>
        </w:rPr>
        <w:t xml:space="preserve">Secondly, </w:t>
      </w:r>
      <w:r>
        <w:rPr>
          <w:rFonts w:ascii="Arial"/>
          <w:b w:val="0"/>
          <w:bCs w:val="0"/>
          <w:sz w:val="26"/>
          <w:szCs w:val="26"/>
          <w:shd w:val="clear" w:color="auto" w:fill="ffffff"/>
          <w:rtl w:val="0"/>
          <w:lang w:val="en-US"/>
        </w:rPr>
        <w:t xml:space="preserve">and importantly for Haitians, </w:t>
      </w:r>
      <w:r>
        <w:rPr>
          <w:rFonts w:ascii="Arial"/>
          <w:b w:val="0"/>
          <w:bCs w:val="0"/>
          <w:sz w:val="26"/>
          <w:szCs w:val="26"/>
          <w:shd w:val="clear" w:color="auto" w:fill="ffffff"/>
          <w:rtl w:val="0"/>
          <w:lang w:val="en-US"/>
        </w:rPr>
        <w:t xml:space="preserve">the government agreed that if, by thirty days prior to April 2, there has not yet been a final decision in the case, </w:t>
      </w:r>
      <w:r>
        <w:rPr>
          <w:rFonts w:ascii="Arial"/>
          <w:b w:val="0"/>
          <w:bCs w:val="0"/>
          <w:sz w:val="26"/>
          <w:szCs w:val="26"/>
          <w:shd w:val="clear" w:color="auto" w:fill="ffffff"/>
          <w:rtl w:val="0"/>
          <w:lang w:val="en-US"/>
        </w:rPr>
        <w:t>DHS</w:t>
      </w:r>
      <w:r>
        <w:rPr>
          <w:rFonts w:ascii="Arial"/>
          <w:b w:val="0"/>
          <w:bCs w:val="0"/>
          <w:sz w:val="26"/>
          <w:szCs w:val="26"/>
          <w:shd w:val="clear" w:color="auto" w:fill="ffffff"/>
          <w:rtl w:val="0"/>
          <w:lang w:val="en-US"/>
        </w:rPr>
        <w:t xml:space="preserve"> will publish </w:t>
      </w:r>
      <w:r>
        <w:rPr>
          <w:rFonts w:asci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in March, 2019 another Federal Register Notice extending TPS for Haiti, Sudan, Nicaragua, and El Salvador for nine (9) months beyond April 2, i.e. to January 2020.</w:t>
      </w:r>
      <w:r>
        <w:rPr>
          <w:rFonts w:hAnsi="Arial" w:hint="default"/>
          <w:b w:val="0"/>
          <w:bCs w:val="0"/>
          <w:sz w:val="26"/>
          <w:szCs w:val="26"/>
          <w:shd w:val="clear" w:color="auto" w:fill="ffffff"/>
          <w:rtl w:val="0"/>
        </w:rPr>
        <w:t>  </w:t>
      </w:r>
      <w:r>
        <w:rPr>
          <w:rFonts w:asci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Since as a practical matter </w:t>
      </w:r>
      <w:r>
        <w:rPr>
          <w:rFonts w:asci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there </w:t>
      </w:r>
      <w:r>
        <w:rPr>
          <w:rFonts w:ascii="Arial"/>
          <w:b w:val="0"/>
          <w:bCs w:val="0"/>
          <w:i w:val="1"/>
          <w:iCs w:val="1"/>
          <w:sz w:val="26"/>
          <w:szCs w:val="26"/>
          <w:u w:val="single"/>
          <w:shd w:val="clear" w:color="auto" w:fill="ffffff"/>
          <w:rtl w:val="0"/>
          <w:lang w:val="en-US"/>
        </w:rPr>
        <w:t>won</w:t>
      </w:r>
      <w:r>
        <w:rPr>
          <w:rFonts w:hAnsi="Arial" w:hint="default"/>
          <w:b w:val="0"/>
          <w:bCs w:val="0"/>
          <w:i w:val="1"/>
          <w:iCs w:val="1"/>
          <w:sz w:val="26"/>
          <w:szCs w:val="26"/>
          <w:u w:val="single"/>
          <w:shd w:val="clear" w:color="auto" w:fill="ffffff"/>
          <w:rtl w:val="0"/>
          <w:lang w:val="en-US"/>
        </w:rPr>
        <w:t>’</w:t>
      </w:r>
      <w:r>
        <w:rPr>
          <w:rFonts w:ascii="Arial"/>
          <w:b w:val="0"/>
          <w:bCs w:val="0"/>
          <w:i w:val="1"/>
          <w:iCs w:val="1"/>
          <w:sz w:val="26"/>
          <w:szCs w:val="26"/>
          <w:u w:val="single"/>
          <w:shd w:val="clear" w:color="auto" w:fill="ffffff"/>
          <w:rtl w:val="0"/>
          <w:lang w:val="en-US"/>
        </w:rPr>
        <w:t>t</w:t>
      </w:r>
      <w:r>
        <w:rPr>
          <w:rFonts w:asci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 be </w:t>
      </w:r>
      <w:r>
        <w:rPr>
          <w:rFonts w:asci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n-US"/>
        </w:rPr>
        <w:t>a final decision by then</w:t>
      </w:r>
      <w:r>
        <w:rPr>
          <w:rFonts w:ascii="Arial"/>
          <w:b w:val="0"/>
          <w:bCs w:val="0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TPS holders from these four countries </w:t>
      </w:r>
      <w:r>
        <w:rPr>
          <w:rFonts w:asci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should be protected </w:t>
      </w:r>
      <w:r>
        <w:rPr>
          <w:rFonts w:asci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until </w:t>
      </w:r>
      <w:r>
        <w:rPr>
          <w:rFonts w:ascii="Arial"/>
          <w:b w:val="0"/>
          <w:bCs w:val="0"/>
          <w:i w:val="1"/>
          <w:iCs w:val="1"/>
          <w:sz w:val="26"/>
          <w:szCs w:val="26"/>
          <w:u w:val="single"/>
          <w:shd w:val="clear" w:color="auto" w:fill="ffffff"/>
          <w:rtl w:val="0"/>
          <w:lang w:val="en-US"/>
        </w:rPr>
        <w:t>at least</w:t>
      </w:r>
      <w:r>
        <w:rPr>
          <w:rFonts w:ascii="Arial"/>
          <w:b w:val="0"/>
          <w:bCs w:val="0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 January 2020.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Thirdly, 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DHS will </w:t>
      </w:r>
      <w:r>
        <w:rPr>
          <w:rFonts w:ascii="Arial"/>
          <w:i w:val="1"/>
          <w:iCs w:val="1"/>
          <w:sz w:val="26"/>
          <w:szCs w:val="26"/>
          <w:u w:val="single"/>
          <w:shd w:val="clear" w:color="auto" w:fill="ffffff"/>
          <w:rtl w:val="0"/>
          <w:lang w:val="en-US"/>
        </w:rPr>
        <w:t>continue to issue Federal Register Notices at nine-month intervals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so long as there has not yet been a final decision in 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Ramos</w:t>
      </w:r>
      <w:r>
        <w:rPr>
          <w:rFonts w:ascii="Arial"/>
          <w:sz w:val="26"/>
          <w:szCs w:val="26"/>
          <w:shd w:val="clear" w:color="auto" w:fill="ffffff"/>
          <w:rtl w:val="0"/>
        </w:rPr>
        <w:t>.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So if there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still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isn't one by thirty days prior to January, 2020, DHS in December will publish a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nother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Federal Register Notice extending TPS for these countries for 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en-US"/>
        </w:rPr>
        <w:t>an additional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nine months, to October 2020.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(Again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en-US"/>
        </w:rPr>
        <w:t>, it</w:t>
      </w:r>
      <w:r>
        <w:rPr>
          <w:rFonts w:hAnsi="Arial" w:hint="default"/>
          <w:i w:val="1"/>
          <w:iCs w:val="1"/>
          <w:sz w:val="26"/>
          <w:szCs w:val="26"/>
          <w:shd w:val="clear" w:color="auto" w:fill="ffffff"/>
          <w:rtl w:val="0"/>
        </w:rPr>
        <w:t>’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en-US"/>
        </w:rPr>
        <w:t>s likely there won't yet be a final decision in Ramos by December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en-US"/>
        </w:rPr>
        <w:t>, so this is likely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</w:rPr>
        <w:t>.</w:t>
      </w:r>
      <w:r>
        <w:rPr>
          <w:rFonts w:ascii="Arial"/>
          <w:sz w:val="26"/>
          <w:szCs w:val="26"/>
          <w:shd w:val="clear" w:color="auto" w:fill="ffffff"/>
          <w:rtl w:val="0"/>
        </w:rPr>
        <w:t>)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To sum up so far</w:t>
      </w:r>
      <w:r>
        <w:rPr>
          <w:rFonts w:ascii="Arial"/>
          <w:sz w:val="26"/>
          <w:szCs w:val="26"/>
          <w:shd w:val="clear" w:color="auto" w:fill="ffffff"/>
          <w:rtl w:val="0"/>
        </w:rPr>
        <w:t>: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Due to developments in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Ramos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, DHS will publish a Federal Register Notice in March extending TPS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for Haiti, Sudan, Nicaragua, and El Salvador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to January, 2020;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if in early December, as is likely, there still is no final decision, DHS will then publish another Federal Register Notice extending these four TPS designations to October, 2020.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Helvetica" w:cs="Helvetica" w:hAnsi="Helvetica" w:eastAsia="Helvetica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Importantly </w:t>
      </w:r>
      <w:r>
        <w:rPr>
          <w:rFonts w:asci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for the community to know, given notaries and scam artists, is that all of </w:t>
      </w:r>
      <w:r>
        <w:rPr>
          <w:rFonts w:asci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these</w:t>
      </w:r>
      <w:r>
        <w:rPr>
          <w:rFonts w:hAnsi="Arial" w:hint="default"/>
          <w:b w:val="1"/>
          <w:bCs w:val="1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extensions are</w:t>
      </w:r>
      <w:r>
        <w:rPr>
          <w:rFonts w:hAnsi="Arial" w:hint="default"/>
          <w:b w:val="1"/>
          <w:bCs w:val="1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b w:val="1"/>
          <w:bCs w:val="1"/>
          <w:sz w:val="26"/>
          <w:szCs w:val="26"/>
          <w:u w:val="single"/>
          <w:shd w:val="clear" w:color="auto" w:fill="ffffff"/>
          <w:rtl w:val="0"/>
          <w:lang w:val="it-IT"/>
        </w:rPr>
        <w:t>automatic</w:t>
      </w:r>
      <w:r>
        <w:rPr>
          <w:rFonts w:ascii="Arial"/>
          <w:b w:val="1"/>
          <w:bCs w:val="1"/>
          <w:sz w:val="26"/>
          <w:szCs w:val="26"/>
          <w:shd w:val="clear" w:color="auto" w:fill="ffffff"/>
          <w:rtl w:val="0"/>
        </w:rPr>
        <w:t>:</w:t>
      </w:r>
      <w:r>
        <w:rPr>
          <w:rFonts w:hAnsi="Arial" w:hint="default"/>
          <w:b w:val="0"/>
          <w:bCs w:val="0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b w:val="1"/>
          <w:bCs w:val="1"/>
          <w:sz w:val="26"/>
          <w:szCs w:val="26"/>
          <w:shd w:val="clear" w:color="auto" w:fill="ffffff"/>
          <w:rtl w:val="0"/>
          <w:lang w:val="nl-NL"/>
        </w:rPr>
        <w:t>TPS'ers don</w:t>
      </w:r>
      <w:r>
        <w:rPr>
          <w:rFonts w:hAnsi="Arial" w:hint="default"/>
          <w:b w:val="1"/>
          <w:bCs w:val="1"/>
          <w:sz w:val="26"/>
          <w:szCs w:val="26"/>
          <w:shd w:val="clear" w:color="auto" w:fill="ffffff"/>
          <w:rtl w:val="0"/>
        </w:rPr>
        <w:t>’</w:t>
      </w:r>
      <w:r>
        <w:rPr>
          <w:rFonts w:asci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t have to pay anyone or do anything at all to benefit from them; they need only</w:t>
      </w:r>
      <w:r>
        <w:rPr>
          <w:rFonts w:hAnsi="Arial" w:hint="default"/>
          <w:b w:val="1"/>
          <w:bCs w:val="1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print out and show their employer or the DMV the Federal Register notices </w:t>
      </w:r>
      <w:r>
        <w:rPr>
          <w:rFonts w:ascii="Arial"/>
          <w:b w:val="0"/>
          <w:bCs w:val="0"/>
          <w:sz w:val="26"/>
          <w:szCs w:val="26"/>
          <w:shd w:val="clear" w:color="auto" w:fill="ffffff"/>
          <w:rtl w:val="0"/>
          <w:lang w:val="en-US"/>
        </w:rPr>
        <w:t>officially extending the TPS</w:t>
      </w:r>
      <w:r>
        <w:rPr>
          <w:rFonts w:hAnsi="Arial" w:hint="default"/>
          <w:b w:val="0"/>
          <w:bCs w:val="0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b w:val="0"/>
          <w:bCs w:val="0"/>
          <w:sz w:val="26"/>
          <w:szCs w:val="26"/>
          <w:shd w:val="clear" w:color="auto" w:fill="ffffff"/>
          <w:rtl w:val="0"/>
          <w:lang w:val="en-US"/>
        </w:rPr>
        <w:t>designations</w:t>
      </w:r>
      <w:r>
        <w:rPr>
          <w:rFonts w:hAnsi="Arial" w:hint="default"/>
          <w:b w:val="0"/>
          <w:bCs w:val="0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b w:val="0"/>
          <w:bCs w:val="0"/>
          <w:sz w:val="26"/>
          <w:szCs w:val="26"/>
          <w:shd w:val="clear" w:color="auto" w:fill="ffffff"/>
          <w:rtl w:val="0"/>
          <w:lang w:val="en-US"/>
        </w:rPr>
        <w:t>for</w:t>
      </w:r>
      <w:r>
        <w:rPr>
          <w:rFonts w:hAnsi="Arial" w:hint="default"/>
          <w:b w:val="0"/>
          <w:bCs w:val="0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b w:val="0"/>
          <w:bCs w:val="0"/>
          <w:sz w:val="26"/>
          <w:szCs w:val="26"/>
          <w:shd w:val="clear" w:color="auto" w:fill="ffffff"/>
          <w:rtl w:val="0"/>
          <w:lang w:val="en-US"/>
        </w:rPr>
        <w:t>these</w:t>
      </w:r>
      <w:r>
        <w:rPr>
          <w:rFonts w:hAnsi="Arial" w:hint="default"/>
          <w:b w:val="0"/>
          <w:bCs w:val="0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b w:val="0"/>
          <w:bCs w:val="0"/>
          <w:sz w:val="26"/>
          <w:szCs w:val="26"/>
          <w:shd w:val="clear" w:color="auto" w:fill="ffffff"/>
          <w:rtl w:val="0"/>
          <w:lang w:val="en-US"/>
        </w:rPr>
        <w:t>four</w:t>
      </w:r>
      <w:r>
        <w:rPr>
          <w:rFonts w:hAnsi="Arial" w:hint="default"/>
          <w:b w:val="0"/>
          <w:bCs w:val="0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b w:val="0"/>
          <w:bCs w:val="0"/>
          <w:sz w:val="26"/>
          <w:szCs w:val="26"/>
          <w:shd w:val="clear" w:color="auto" w:fill="ffffff"/>
          <w:rtl w:val="0"/>
          <w:lang w:val="en-US"/>
        </w:rPr>
        <w:t>countries!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For example,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Haitians who re-registered for TPS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now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have a work permit card or approval notice good to July 22, 2019.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 The Federal Register Notice to be published in March will extend the validity of those documents to January, 2020 as a matter of law.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In dealing with a current or prospective employer,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before or after July 22,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all the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Haitian with TPS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will need to do is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print out and show them the Federal Register Notice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,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to be published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in March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,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extending Haiti TPS to January 2020. 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The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employer is legally obligated to honor th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is</w:t>
      </w:r>
      <w:r>
        <w:rPr>
          <w:rFonts w:ascii="Arial"/>
          <w:sz w:val="26"/>
          <w:szCs w:val="26"/>
          <w:shd w:val="clear" w:color="auto" w:fill="ffffff"/>
          <w:rtl w:val="0"/>
        </w:rPr>
        <w:t xml:space="preserve">.  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The same goes for renewing one's driver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s license.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Shown the F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ederal </w:t>
      </w:r>
      <w:r>
        <w:rPr>
          <w:rFonts w:ascii="Arial"/>
          <w:sz w:val="26"/>
          <w:szCs w:val="26"/>
          <w:shd w:val="clear" w:color="auto" w:fill="ffffff"/>
          <w:rtl w:val="0"/>
        </w:rPr>
        <w:t>R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egister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Notice, the DMV should give them a new driver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s license good for the period specified in it.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Vigilance against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notarie</w:t>
      </w:r>
      <w:r>
        <w:rPr>
          <w:rFonts w:ascii="Arial"/>
          <w:sz w:val="26"/>
          <w:szCs w:val="26"/>
          <w:shd w:val="clear" w:color="auto" w:fill="ffffff"/>
          <w:rtl w:val="0"/>
        </w:rPr>
        <w:t xml:space="preserve">s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and scam artists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is especially necessary given </w:t>
      </w:r>
      <w:r>
        <w:rPr>
          <w:rFonts w:asci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another</w:t>
      </w:r>
      <w:r>
        <w:rPr>
          <w:rFonts w:asci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 extremely important favorable </w:t>
      </w:r>
      <w:r>
        <w:rPr>
          <w:rFonts w:ascii="Arial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Ramos</w:t>
      </w:r>
      <w:r>
        <w:rPr>
          <w:rFonts w:asci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 development</w:t>
      </w:r>
      <w:r>
        <w:rPr>
          <w:rFonts w:ascii="Arial"/>
          <w:b w:val="1"/>
          <w:bCs w:val="1"/>
          <w:sz w:val="26"/>
          <w:szCs w:val="26"/>
          <w:shd w:val="clear" w:color="auto" w:fill="ffffff"/>
          <w:rtl w:val="0"/>
          <w:lang w:val="en-US"/>
        </w:rPr>
        <w:t>!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Thousands of Haitians who had TPS failed to re-register for it in 2017 or 2018 under Trump.  They can and should now re-register if they want to enjoy the benefits of the TPS extensions described above!  T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he government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has agreed in 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Ramos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to give "presumptive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weight" of validity to any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such late-filed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TPS re-registration applications for persons who failed to timely re-register out of fear, confusion, or other good cause in 2017 or 2018 under Trump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but who do so now!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These thousands of Haitians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who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had TPS but who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failed to re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-</w:t>
      </w:r>
      <w:r>
        <w:rPr>
          <w:rFonts w:ascii="Arial"/>
          <w:sz w:val="26"/>
          <w:szCs w:val="26"/>
          <w:shd w:val="clear" w:color="auto" w:fill="ffffff"/>
          <w:rtl w:val="0"/>
          <w:lang w:val="nl-NL"/>
        </w:rPr>
        <w:t>register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for it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in 2017 or 2018 should be successful in doing so now -- late -- if they explain that they didn't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do so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on time due to fear, confusion, or other good reason. 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Such late-filers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will need to pay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the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normal re-registration fees. 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But while they are strongly encouraged to take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advantage of this great opportunity to be covered by the excellent 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es-ES_tradnl"/>
        </w:rPr>
        <w:t>Ramos</w:t>
      </w:r>
      <w:r>
        <w:rPr>
          <w:rFonts w:ascii="Arial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extension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s described above, it is important to clearly convey to the community that 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en-US"/>
        </w:rPr>
        <w:t>only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they -- and not anyone who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already has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TPS because they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timely re-registered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in 2018!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-- need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s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to now re-register for TPS.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No Haitian with a currently valid TPS document good until July 22, 2019 needs to do or pay anything at all to anyone to benefit from these extensions, which are automatic!  That</w:t>
      </w:r>
      <w:r>
        <w:rPr>
          <w:rFonts w:hAnsi="Arial" w:hint="default"/>
          <w:sz w:val="26"/>
          <w:szCs w:val="26"/>
          <w:shd w:val="clear" w:color="auto" w:fill="ffffff"/>
          <w:rtl w:val="0"/>
          <w:lang w:val="en-US"/>
        </w:rPr>
        <w:t>’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s so important for people to clearly understand!  Only those Haitians who 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en-US"/>
        </w:rPr>
        <w:t>used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to have TPS but who didn</w:t>
      </w:r>
      <w:r>
        <w:rPr>
          <w:rFonts w:hAnsi="Arial" w:hint="default"/>
          <w:sz w:val="26"/>
          <w:szCs w:val="26"/>
          <w:shd w:val="clear" w:color="auto" w:fill="ffffff"/>
          <w:rtl w:val="0"/>
          <w:lang w:val="en-US"/>
        </w:rPr>
        <w:t>’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t timely re-register for it under Trump in 2017 or 2018 may and should now do re-register late </w:t>
      </w:r>
      <w:r>
        <w:rPr>
          <w:rFonts w:hAnsi="Arial" w:hint="default"/>
          <w:sz w:val="26"/>
          <w:szCs w:val="26"/>
          <w:shd w:val="clear" w:color="auto" w:fill="ffffff"/>
          <w:rtl w:val="0"/>
          <w:lang w:val="en-US"/>
        </w:rPr>
        <w:t>“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for good cause</w:t>
      </w:r>
      <w:r>
        <w:rPr>
          <w:rFonts w:hAnsi="Arial" w:hint="default"/>
          <w:sz w:val="26"/>
          <w:szCs w:val="26"/>
          <w:shd w:val="clear" w:color="auto" w:fill="ffffff"/>
          <w:rtl w:val="0"/>
          <w:lang w:val="en-US"/>
        </w:rPr>
        <w:t xml:space="preserve">” 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to benefit from these good developments!</w:t>
      </w:r>
    </w:p>
    <w:p>
      <w:pPr>
        <w:pStyle w:val="Default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both"/>
        <w:rPr>
          <w:rtl w:val="0"/>
        </w:rPr>
      </w:pP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Beyond these favorable legal developments, it is</w:t>
      </w:r>
      <w:r>
        <w:rPr>
          <w:rFonts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>essential that Congress should promptly act to provide a path to permanent status for the various TPS populations, since the fate of the various court cases is extremely uncertain once they reach the Supreme Court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.  But these excellent </w:t>
      </w:r>
      <w:r>
        <w:rPr>
          <w:rFonts w:ascii="Arial"/>
          <w:i w:val="1"/>
          <w:iCs w:val="1"/>
          <w:sz w:val="26"/>
          <w:szCs w:val="26"/>
          <w:shd w:val="clear" w:color="auto" w:fill="ffffff"/>
          <w:rtl w:val="0"/>
          <w:lang w:val="en-US"/>
        </w:rPr>
        <w:t>Ramos</w:t>
      </w:r>
      <w:r>
        <w:rPr>
          <w:rFonts w:ascii="Arial"/>
          <w:sz w:val="26"/>
          <w:szCs w:val="26"/>
          <w:shd w:val="clear" w:color="auto" w:fill="ffffff"/>
          <w:rtl w:val="0"/>
          <w:lang w:val="en-US"/>
        </w:rPr>
        <w:t xml:space="preserve"> legal developments mean that Haiti TPS and its protections will extend far beyond July 22.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govinfo.gov/content/pkg/FR-2018-10-31/html/2018-23892.ht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