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0A717" w14:textId="5BB37432" w:rsidR="00F335BB" w:rsidRPr="00951EB6" w:rsidRDefault="00F335BB" w:rsidP="00405344">
      <w:pPr>
        <w:ind w:right="-180"/>
        <w:jc w:val="center"/>
        <w:rPr>
          <w:rFonts w:ascii="Cambria" w:hAnsi="Cambria"/>
          <w:sz w:val="22"/>
          <w:szCs w:val="22"/>
        </w:rPr>
      </w:pPr>
      <w:bookmarkStart w:id="0" w:name="_GoBack"/>
      <w:bookmarkEnd w:id="0"/>
      <w:r w:rsidRPr="00951EB6">
        <w:rPr>
          <w:rFonts w:ascii="Cambria" w:hAnsi="Cambria"/>
          <w:b/>
          <w:sz w:val="22"/>
          <w:szCs w:val="22"/>
        </w:rPr>
        <w:t>TOWARDS A MORE ACCOUNTABLE HUMANITARIAN SECTOR</w:t>
      </w:r>
    </w:p>
    <w:p w14:paraId="1377BDDF" w14:textId="77777777" w:rsidR="00247B9D" w:rsidRPr="00951EB6" w:rsidRDefault="00247B9D" w:rsidP="00B25484">
      <w:pPr>
        <w:ind w:right="-180"/>
        <w:jc w:val="both"/>
        <w:rPr>
          <w:rFonts w:ascii="Cambria" w:hAnsi="Cambria"/>
          <w:sz w:val="22"/>
          <w:szCs w:val="22"/>
        </w:rPr>
      </w:pPr>
    </w:p>
    <w:p w14:paraId="30F92B06" w14:textId="77777777" w:rsidR="00F335BB" w:rsidRPr="00951EB6" w:rsidRDefault="00F335BB" w:rsidP="00B25484">
      <w:pPr>
        <w:ind w:right="-180"/>
        <w:jc w:val="both"/>
        <w:rPr>
          <w:rFonts w:ascii="Cambria" w:hAnsi="Cambria"/>
          <w:sz w:val="22"/>
          <w:szCs w:val="22"/>
        </w:rPr>
      </w:pPr>
      <w:r w:rsidRPr="00951EB6">
        <w:rPr>
          <w:rFonts w:ascii="Cambria" w:hAnsi="Cambria"/>
          <w:sz w:val="22"/>
          <w:szCs w:val="22"/>
        </w:rPr>
        <w:t>March 21, 2018</w:t>
      </w:r>
    </w:p>
    <w:p w14:paraId="708A44AC" w14:textId="77777777" w:rsidR="007830FC" w:rsidRPr="00951EB6" w:rsidRDefault="007830FC" w:rsidP="00B25484">
      <w:pPr>
        <w:ind w:right="-180"/>
        <w:jc w:val="both"/>
        <w:rPr>
          <w:rFonts w:ascii="Cambria" w:hAnsi="Cambria"/>
          <w:sz w:val="22"/>
          <w:szCs w:val="22"/>
        </w:rPr>
      </w:pPr>
    </w:p>
    <w:p w14:paraId="432E0459" w14:textId="4B326330" w:rsidR="001F0D23" w:rsidRDefault="00AD6D2D" w:rsidP="00B25484">
      <w:pPr>
        <w:ind w:right="-180"/>
        <w:jc w:val="both"/>
        <w:rPr>
          <w:rFonts w:ascii="Cambria" w:hAnsi="Cambria"/>
          <w:color w:val="000000"/>
          <w:sz w:val="22"/>
          <w:szCs w:val="22"/>
          <w:shd w:val="clear" w:color="auto" w:fill="FCFCFC"/>
        </w:rPr>
      </w:pPr>
      <w:r w:rsidRPr="00951EB6">
        <w:rPr>
          <w:rFonts w:ascii="Cambria" w:hAnsi="Cambria"/>
          <w:iCs/>
          <w:sz w:val="22"/>
          <w:szCs w:val="22"/>
          <w:shd w:val="clear" w:color="auto" w:fill="FCFCFC"/>
        </w:rPr>
        <w:t xml:space="preserve">The </w:t>
      </w:r>
      <w:hyperlink r:id="rId8" w:history="1">
        <w:r w:rsidRPr="00404DD1">
          <w:rPr>
            <w:rStyle w:val="Hyperlink"/>
            <w:rFonts w:ascii="Cambria" w:hAnsi="Cambria"/>
            <w:iCs/>
            <w:color w:val="0070C0"/>
            <w:sz w:val="22"/>
            <w:szCs w:val="22"/>
            <w:shd w:val="clear" w:color="auto" w:fill="FCFCFC"/>
          </w:rPr>
          <w:t>Oxfam sex abuse scandal</w:t>
        </w:r>
      </w:hyperlink>
      <w:r w:rsidRPr="00951EB6">
        <w:rPr>
          <w:rFonts w:ascii="Cambria" w:hAnsi="Cambria"/>
          <w:iCs/>
          <w:sz w:val="22"/>
          <w:szCs w:val="22"/>
          <w:shd w:val="clear" w:color="auto" w:fill="FCFCFC"/>
        </w:rPr>
        <w:t xml:space="preserve"> </w:t>
      </w:r>
      <w:r w:rsidR="007830FC" w:rsidRPr="00951EB6">
        <w:rPr>
          <w:rFonts w:ascii="Cambria" w:hAnsi="Cambria"/>
          <w:iCs/>
          <w:sz w:val="22"/>
          <w:szCs w:val="22"/>
          <w:shd w:val="clear" w:color="auto" w:fill="FCFCFC"/>
        </w:rPr>
        <w:t xml:space="preserve">in Haiti </w:t>
      </w:r>
      <w:r w:rsidR="00915732" w:rsidRPr="00951EB6">
        <w:rPr>
          <w:rFonts w:ascii="Cambria" w:hAnsi="Cambria"/>
          <w:color w:val="000000"/>
          <w:sz w:val="22"/>
          <w:szCs w:val="22"/>
        </w:rPr>
        <w:t>is just the tip of the iceberg of unac</w:t>
      </w:r>
      <w:r w:rsidRPr="00951EB6">
        <w:rPr>
          <w:rFonts w:ascii="Cambria" w:hAnsi="Cambria"/>
          <w:color w:val="000000"/>
          <w:sz w:val="22"/>
          <w:szCs w:val="22"/>
        </w:rPr>
        <w:t>countable humanitarian</w:t>
      </w:r>
      <w:r w:rsidR="006E5E48">
        <w:rPr>
          <w:rFonts w:ascii="Cambria" w:hAnsi="Cambria"/>
          <w:color w:val="000000"/>
          <w:sz w:val="22"/>
          <w:szCs w:val="22"/>
        </w:rPr>
        <w:t xml:space="preserve"> </w:t>
      </w:r>
      <w:r w:rsidRPr="00951EB6">
        <w:rPr>
          <w:rFonts w:ascii="Cambria" w:hAnsi="Cambria"/>
          <w:color w:val="000000"/>
          <w:sz w:val="22"/>
          <w:szCs w:val="22"/>
        </w:rPr>
        <w:t xml:space="preserve">action, and </w:t>
      </w:r>
      <w:r w:rsidRPr="00951EB6">
        <w:rPr>
          <w:rFonts w:ascii="Cambria" w:hAnsi="Cambria"/>
          <w:iCs/>
          <w:sz w:val="22"/>
          <w:szCs w:val="22"/>
          <w:shd w:val="clear" w:color="auto" w:fill="FCFCFC"/>
        </w:rPr>
        <w:t xml:space="preserve">demonstrates the urgent need for </w:t>
      </w:r>
      <w:r w:rsidR="006E5E48">
        <w:rPr>
          <w:rFonts w:ascii="Cambria" w:hAnsi="Cambria"/>
          <w:iCs/>
          <w:sz w:val="22"/>
          <w:szCs w:val="22"/>
          <w:shd w:val="clear" w:color="auto" w:fill="FCFCFC"/>
        </w:rPr>
        <w:t xml:space="preserve">improved </w:t>
      </w:r>
      <w:r w:rsidRPr="00951EB6">
        <w:rPr>
          <w:rFonts w:ascii="Cambria" w:hAnsi="Cambria"/>
          <w:iCs/>
          <w:sz w:val="22"/>
          <w:szCs w:val="22"/>
          <w:shd w:val="clear" w:color="auto" w:fill="FCFCFC"/>
        </w:rPr>
        <w:t xml:space="preserve">accountability </w:t>
      </w:r>
      <w:r w:rsidR="00A54A52">
        <w:rPr>
          <w:rFonts w:ascii="Cambria" w:hAnsi="Cambria"/>
          <w:iCs/>
          <w:sz w:val="22"/>
          <w:szCs w:val="22"/>
          <w:shd w:val="clear" w:color="auto" w:fill="FCFCFC"/>
        </w:rPr>
        <w:t xml:space="preserve">across </w:t>
      </w:r>
      <w:r w:rsidRPr="00951EB6">
        <w:rPr>
          <w:rFonts w:ascii="Cambria" w:hAnsi="Cambria"/>
          <w:iCs/>
          <w:sz w:val="22"/>
          <w:szCs w:val="22"/>
          <w:shd w:val="clear" w:color="auto" w:fill="FCFCFC"/>
        </w:rPr>
        <w:t xml:space="preserve">the </w:t>
      </w:r>
      <w:r w:rsidR="00D42A2F" w:rsidRPr="00951EB6">
        <w:rPr>
          <w:rFonts w:ascii="Cambria" w:hAnsi="Cambria"/>
          <w:iCs/>
          <w:sz w:val="22"/>
          <w:szCs w:val="22"/>
          <w:shd w:val="clear" w:color="auto" w:fill="FCFCFC"/>
        </w:rPr>
        <w:t>humanitarian</w:t>
      </w:r>
      <w:r w:rsidRPr="00951EB6">
        <w:rPr>
          <w:rFonts w:ascii="Cambria" w:hAnsi="Cambria"/>
          <w:iCs/>
          <w:sz w:val="22"/>
          <w:szCs w:val="22"/>
          <w:shd w:val="clear" w:color="auto" w:fill="FCFCFC"/>
        </w:rPr>
        <w:t xml:space="preserve"> aid sector</w:t>
      </w:r>
      <w:r w:rsidR="00915732" w:rsidRPr="00951EB6">
        <w:rPr>
          <w:rFonts w:ascii="Cambria" w:hAnsi="Cambria"/>
          <w:color w:val="000000"/>
          <w:sz w:val="22"/>
          <w:szCs w:val="22"/>
        </w:rPr>
        <w:t>.</w:t>
      </w:r>
      <w:r w:rsidRPr="00951EB6">
        <w:rPr>
          <w:rFonts w:ascii="Cambria" w:hAnsi="Cambria"/>
          <w:color w:val="000000"/>
          <w:sz w:val="22"/>
          <w:szCs w:val="22"/>
        </w:rPr>
        <w:t xml:space="preserve"> </w:t>
      </w:r>
      <w:r w:rsidR="00A54A52">
        <w:rPr>
          <w:rFonts w:ascii="Cambria" w:hAnsi="Cambria"/>
          <w:color w:val="000000"/>
          <w:sz w:val="22"/>
          <w:szCs w:val="22"/>
        </w:rPr>
        <w:t xml:space="preserve">Sexual exploitation and </w:t>
      </w:r>
      <w:r w:rsidR="007830FC" w:rsidRPr="00951EB6">
        <w:rPr>
          <w:rFonts w:ascii="Cambria" w:hAnsi="Cambria"/>
          <w:color w:val="000000"/>
          <w:sz w:val="22"/>
          <w:szCs w:val="22"/>
        </w:rPr>
        <w:t xml:space="preserve">abuse </w:t>
      </w:r>
      <w:r w:rsidR="00A54A52">
        <w:rPr>
          <w:rFonts w:ascii="Cambria" w:hAnsi="Cambria"/>
          <w:color w:val="000000"/>
          <w:sz w:val="22"/>
          <w:szCs w:val="22"/>
        </w:rPr>
        <w:t xml:space="preserve">(SEA) </w:t>
      </w:r>
      <w:r w:rsidR="007830FC" w:rsidRPr="00951EB6">
        <w:rPr>
          <w:rFonts w:ascii="Cambria" w:hAnsi="Cambria"/>
          <w:color w:val="000000"/>
          <w:sz w:val="22"/>
          <w:szCs w:val="22"/>
        </w:rPr>
        <w:t xml:space="preserve">is prevalent in </w:t>
      </w:r>
      <w:r w:rsidR="000712D8" w:rsidRPr="00951EB6">
        <w:rPr>
          <w:rFonts w:ascii="Cambria" w:hAnsi="Cambria"/>
          <w:color w:val="000000"/>
          <w:sz w:val="22"/>
          <w:szCs w:val="22"/>
        </w:rPr>
        <w:t>the aid community</w:t>
      </w:r>
      <w:r w:rsidR="00A54A52">
        <w:rPr>
          <w:rFonts w:ascii="Cambria" w:hAnsi="Cambria"/>
          <w:color w:val="000000"/>
          <w:sz w:val="22"/>
          <w:szCs w:val="22"/>
        </w:rPr>
        <w:t>: o</w:t>
      </w:r>
      <w:r w:rsidR="007830FC" w:rsidRPr="00951EB6">
        <w:rPr>
          <w:rFonts w:ascii="Cambria" w:hAnsi="Cambria"/>
          <w:sz w:val="22"/>
          <w:szCs w:val="22"/>
        </w:rPr>
        <w:t xml:space="preserve">ne </w:t>
      </w:r>
      <w:hyperlink r:id="rId9" w:history="1">
        <w:r w:rsidR="007830FC" w:rsidRPr="00404DD1">
          <w:rPr>
            <w:rStyle w:val="Hyperlink"/>
            <w:rFonts w:ascii="Cambria" w:hAnsi="Cambria"/>
            <w:color w:val="0070C0"/>
            <w:sz w:val="22"/>
            <w:szCs w:val="22"/>
          </w:rPr>
          <w:t>report</w:t>
        </w:r>
      </w:hyperlink>
      <w:r w:rsidR="00A54A52">
        <w:rPr>
          <w:rFonts w:ascii="Cambria" w:hAnsi="Cambria"/>
          <w:sz w:val="22"/>
          <w:szCs w:val="22"/>
        </w:rPr>
        <w:t xml:space="preserve"> found</w:t>
      </w:r>
      <w:r w:rsidR="007830FC" w:rsidRPr="00951EB6">
        <w:rPr>
          <w:rFonts w:ascii="Cambria" w:hAnsi="Cambria"/>
          <w:sz w:val="22"/>
          <w:szCs w:val="22"/>
        </w:rPr>
        <w:t xml:space="preserve"> that 23 non-governmental organizations</w:t>
      </w:r>
      <w:r w:rsidR="00A54A52">
        <w:rPr>
          <w:rFonts w:ascii="Cambria" w:hAnsi="Cambria"/>
          <w:sz w:val="22"/>
          <w:szCs w:val="22"/>
        </w:rPr>
        <w:t xml:space="preserve"> (NGO</w:t>
      </w:r>
      <w:r w:rsidR="007830FC" w:rsidRPr="00951EB6">
        <w:rPr>
          <w:rFonts w:ascii="Cambria" w:hAnsi="Cambria"/>
          <w:sz w:val="22"/>
          <w:szCs w:val="22"/>
        </w:rPr>
        <w:t>s)</w:t>
      </w:r>
      <w:r w:rsidR="00A54A52">
        <w:rPr>
          <w:rFonts w:ascii="Cambria" w:hAnsi="Cambria"/>
          <w:sz w:val="22"/>
          <w:szCs w:val="22"/>
        </w:rPr>
        <w:t xml:space="preserve"> in Haiti</w:t>
      </w:r>
      <w:r w:rsidR="007830FC" w:rsidRPr="00951EB6">
        <w:rPr>
          <w:rFonts w:ascii="Cambria" w:hAnsi="Cambria"/>
          <w:sz w:val="22"/>
          <w:szCs w:val="22"/>
        </w:rPr>
        <w:t xml:space="preserve"> have had a sexual exploitation problem. </w:t>
      </w:r>
      <w:r w:rsidR="00E86714" w:rsidRPr="00951EB6">
        <w:rPr>
          <w:rFonts w:ascii="Cambria" w:hAnsi="Cambria"/>
          <w:color w:val="000000"/>
          <w:sz w:val="22"/>
          <w:szCs w:val="22"/>
        </w:rPr>
        <w:t xml:space="preserve">Like Oxfam, </w:t>
      </w:r>
      <w:r w:rsidR="00A54A52">
        <w:rPr>
          <w:rFonts w:ascii="Cambria" w:hAnsi="Cambria"/>
          <w:color w:val="000000"/>
          <w:sz w:val="22"/>
          <w:szCs w:val="22"/>
        </w:rPr>
        <w:t>NGO</w:t>
      </w:r>
      <w:r w:rsidR="00651053" w:rsidRPr="00951EB6">
        <w:rPr>
          <w:rFonts w:ascii="Cambria" w:hAnsi="Cambria"/>
          <w:color w:val="000000"/>
          <w:sz w:val="22"/>
          <w:szCs w:val="22"/>
        </w:rPr>
        <w:t>s often</w:t>
      </w:r>
      <w:r w:rsidR="00E86714" w:rsidRPr="00951EB6">
        <w:rPr>
          <w:rFonts w:ascii="Cambria" w:hAnsi="Cambria"/>
          <w:color w:val="000000"/>
          <w:sz w:val="22"/>
          <w:szCs w:val="22"/>
        </w:rPr>
        <w:t xml:space="preserve"> </w:t>
      </w:r>
      <w:r w:rsidRPr="00951EB6">
        <w:rPr>
          <w:rFonts w:ascii="Cambria" w:hAnsi="Cambria"/>
          <w:color w:val="000000"/>
          <w:sz w:val="22"/>
          <w:szCs w:val="22"/>
        </w:rPr>
        <w:t>do</w:t>
      </w:r>
      <w:r w:rsidR="00D42A2F" w:rsidRPr="00951EB6">
        <w:rPr>
          <w:rFonts w:ascii="Cambria" w:hAnsi="Cambria"/>
          <w:color w:val="000000"/>
          <w:sz w:val="22"/>
          <w:szCs w:val="22"/>
        </w:rPr>
        <w:t xml:space="preserve"> </w:t>
      </w:r>
      <w:r w:rsidRPr="00951EB6">
        <w:rPr>
          <w:rFonts w:ascii="Cambria" w:hAnsi="Cambria"/>
          <w:color w:val="000000"/>
          <w:sz w:val="22"/>
          <w:szCs w:val="22"/>
        </w:rPr>
        <w:t>n</w:t>
      </w:r>
      <w:r w:rsidR="00D42A2F" w:rsidRPr="00951EB6">
        <w:rPr>
          <w:rFonts w:ascii="Cambria" w:hAnsi="Cambria"/>
          <w:color w:val="000000"/>
          <w:sz w:val="22"/>
          <w:szCs w:val="22"/>
        </w:rPr>
        <w:t>o</w:t>
      </w:r>
      <w:r w:rsidRPr="00951EB6">
        <w:rPr>
          <w:rFonts w:ascii="Cambria" w:hAnsi="Cambria"/>
          <w:color w:val="000000"/>
          <w:sz w:val="22"/>
          <w:szCs w:val="22"/>
        </w:rPr>
        <w:t xml:space="preserve">t treat </w:t>
      </w:r>
      <w:r w:rsidR="00915732" w:rsidRPr="00951EB6">
        <w:rPr>
          <w:rFonts w:ascii="Cambria" w:hAnsi="Cambria"/>
          <w:color w:val="000000"/>
          <w:sz w:val="22"/>
          <w:szCs w:val="22"/>
        </w:rPr>
        <w:t>staff</w:t>
      </w:r>
      <w:r w:rsidR="00A54A52">
        <w:rPr>
          <w:rFonts w:ascii="Cambria" w:hAnsi="Cambria"/>
          <w:color w:val="000000"/>
          <w:sz w:val="22"/>
          <w:szCs w:val="22"/>
        </w:rPr>
        <w:t xml:space="preserve"> SEA</w:t>
      </w:r>
      <w:r w:rsidR="00915732" w:rsidRPr="00951EB6">
        <w:rPr>
          <w:rFonts w:ascii="Cambria" w:hAnsi="Cambria"/>
          <w:color w:val="000000"/>
          <w:sz w:val="22"/>
          <w:szCs w:val="22"/>
        </w:rPr>
        <w:t xml:space="preserve"> as a legal matter</w:t>
      </w:r>
      <w:r w:rsidRPr="00951EB6">
        <w:rPr>
          <w:rFonts w:ascii="Cambria" w:hAnsi="Cambria"/>
          <w:color w:val="000000"/>
          <w:sz w:val="22"/>
          <w:szCs w:val="22"/>
        </w:rPr>
        <w:t xml:space="preserve"> or </w:t>
      </w:r>
      <w:r w:rsidR="00E86714" w:rsidRPr="00951EB6">
        <w:rPr>
          <w:rFonts w:ascii="Cambria" w:hAnsi="Cambria"/>
          <w:color w:val="000000"/>
          <w:sz w:val="22"/>
          <w:szCs w:val="22"/>
        </w:rPr>
        <w:t xml:space="preserve">provide </w:t>
      </w:r>
      <w:r w:rsidR="000712D8" w:rsidRPr="00951EB6">
        <w:rPr>
          <w:rFonts w:ascii="Cambria" w:hAnsi="Cambria"/>
          <w:color w:val="000000"/>
          <w:sz w:val="22"/>
          <w:szCs w:val="22"/>
        </w:rPr>
        <w:t>remedies</w:t>
      </w:r>
      <w:r w:rsidR="00E86714" w:rsidRPr="00951EB6">
        <w:rPr>
          <w:rFonts w:ascii="Cambria" w:hAnsi="Cambria"/>
          <w:color w:val="000000"/>
          <w:sz w:val="22"/>
          <w:szCs w:val="22"/>
        </w:rPr>
        <w:t xml:space="preserve"> to the victims</w:t>
      </w:r>
      <w:r w:rsidR="00915732" w:rsidRPr="00951EB6">
        <w:rPr>
          <w:rFonts w:ascii="Cambria" w:hAnsi="Cambria"/>
          <w:color w:val="000000"/>
          <w:sz w:val="22"/>
          <w:szCs w:val="22"/>
        </w:rPr>
        <w:t>. </w:t>
      </w:r>
      <w:r w:rsidR="000712D8" w:rsidRPr="00951EB6">
        <w:rPr>
          <w:rFonts w:ascii="Cambria" w:hAnsi="Cambria"/>
          <w:color w:val="000000"/>
          <w:sz w:val="22"/>
          <w:szCs w:val="22"/>
        </w:rPr>
        <w:t xml:space="preserve"> </w:t>
      </w:r>
      <w:r w:rsidR="003E73DC" w:rsidRPr="00951EB6">
        <w:rPr>
          <w:rFonts w:ascii="Cambria" w:hAnsi="Cambria"/>
          <w:color w:val="000000"/>
          <w:sz w:val="22"/>
          <w:szCs w:val="22"/>
        </w:rPr>
        <w:t>L</w:t>
      </w:r>
      <w:r w:rsidR="00A54A52">
        <w:rPr>
          <w:rFonts w:ascii="Cambria" w:hAnsi="Cambria"/>
          <w:color w:val="000000"/>
          <w:sz w:val="22"/>
          <w:szCs w:val="22"/>
          <w:shd w:val="clear" w:color="auto" w:fill="FCFCFC"/>
        </w:rPr>
        <w:t>egal obligations</w:t>
      </w:r>
      <w:r w:rsidR="003E73DC" w:rsidRPr="00951EB6">
        <w:rPr>
          <w:rFonts w:ascii="Cambria" w:hAnsi="Cambria"/>
          <w:color w:val="000000"/>
          <w:sz w:val="22"/>
          <w:szCs w:val="22"/>
          <w:shd w:val="clear" w:color="auto" w:fill="FCFCFC"/>
        </w:rPr>
        <w:t xml:space="preserve"> exist, but </w:t>
      </w:r>
      <w:r w:rsidR="000712D8" w:rsidRPr="00951EB6">
        <w:rPr>
          <w:rFonts w:ascii="Cambria" w:hAnsi="Cambria"/>
          <w:color w:val="000000"/>
          <w:sz w:val="22"/>
          <w:szCs w:val="22"/>
          <w:shd w:val="clear" w:color="auto" w:fill="FCFCFC"/>
        </w:rPr>
        <w:t>NGOs</w:t>
      </w:r>
      <w:r w:rsidR="00651053" w:rsidRPr="00951EB6">
        <w:rPr>
          <w:rFonts w:ascii="Cambria" w:hAnsi="Cambria"/>
          <w:color w:val="000000"/>
          <w:sz w:val="22"/>
          <w:szCs w:val="22"/>
          <w:shd w:val="clear" w:color="auto" w:fill="FCFCFC"/>
        </w:rPr>
        <w:t xml:space="preserve"> ignore them.</w:t>
      </w:r>
      <w:r w:rsidR="001F0D23">
        <w:rPr>
          <w:rFonts w:ascii="Cambria" w:hAnsi="Cambria"/>
          <w:color w:val="000000"/>
          <w:sz w:val="22"/>
          <w:szCs w:val="22"/>
          <w:shd w:val="clear" w:color="auto" w:fill="FCFCFC"/>
        </w:rPr>
        <w:t xml:space="preserve"> </w:t>
      </w:r>
    </w:p>
    <w:p w14:paraId="0C196EA8" w14:textId="77777777" w:rsidR="001F0D23" w:rsidRDefault="001F0D23" w:rsidP="00B25484">
      <w:pPr>
        <w:ind w:right="-180"/>
        <w:jc w:val="both"/>
        <w:rPr>
          <w:rFonts w:ascii="Cambria" w:hAnsi="Cambria"/>
          <w:color w:val="000000"/>
          <w:sz w:val="22"/>
          <w:szCs w:val="22"/>
          <w:shd w:val="clear" w:color="auto" w:fill="FCFCFC"/>
        </w:rPr>
      </w:pPr>
    </w:p>
    <w:p w14:paraId="60A3DDDF" w14:textId="4EA7339D" w:rsidR="001003CA" w:rsidRDefault="003836C2" w:rsidP="00B25484">
      <w:pPr>
        <w:ind w:righ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As with SEA, o</w:t>
      </w:r>
      <w:r w:rsidR="00A54A52">
        <w:rPr>
          <w:rFonts w:ascii="Cambria" w:hAnsi="Cambria"/>
          <w:sz w:val="22"/>
          <w:szCs w:val="22"/>
        </w:rPr>
        <w:t xml:space="preserve">ther accountability failures </w:t>
      </w:r>
      <w:r>
        <w:rPr>
          <w:rFonts w:ascii="Cambria" w:hAnsi="Cambria"/>
          <w:sz w:val="22"/>
          <w:szCs w:val="22"/>
        </w:rPr>
        <w:t>create anger and tension with local communities, and undermine humanitarian actors’ effectiveness</w:t>
      </w:r>
      <w:r w:rsidR="00A54A52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 w:rsidR="00A54A52">
        <w:rPr>
          <w:rFonts w:ascii="Cambria" w:hAnsi="Cambria"/>
          <w:sz w:val="22"/>
          <w:szCs w:val="22"/>
        </w:rPr>
        <w:t>The</w:t>
      </w:r>
      <w:r w:rsidR="00852BA2">
        <w:rPr>
          <w:rFonts w:ascii="Cambria" w:hAnsi="Cambria"/>
          <w:sz w:val="22"/>
          <w:szCs w:val="22"/>
        </w:rPr>
        <w:t xml:space="preserve">se include </w:t>
      </w:r>
      <w:r>
        <w:rPr>
          <w:rFonts w:ascii="Cambria" w:hAnsi="Cambria"/>
          <w:sz w:val="22"/>
          <w:szCs w:val="22"/>
        </w:rPr>
        <w:t>failures in</w:t>
      </w:r>
      <w:r w:rsidR="00852BA2" w:rsidRPr="00951EB6">
        <w:rPr>
          <w:rFonts w:ascii="Cambria" w:hAnsi="Cambria"/>
          <w:sz w:val="22"/>
          <w:szCs w:val="22"/>
        </w:rPr>
        <w:t xml:space="preserve"> aid delivery</w:t>
      </w:r>
      <w:r w:rsidR="00852BA2">
        <w:rPr>
          <w:rFonts w:ascii="Cambria" w:hAnsi="Cambria"/>
          <w:sz w:val="22"/>
          <w:szCs w:val="22"/>
        </w:rPr>
        <w:t>, sustainabil</w:t>
      </w:r>
      <w:r w:rsidR="002E21F5">
        <w:rPr>
          <w:rFonts w:ascii="Cambria" w:hAnsi="Cambria"/>
          <w:sz w:val="22"/>
          <w:szCs w:val="22"/>
        </w:rPr>
        <w:t>ity of development projects and, in the case</w:t>
      </w:r>
      <w:r w:rsidR="000712D8" w:rsidRPr="00951EB6">
        <w:rPr>
          <w:rFonts w:ascii="Cambria" w:hAnsi="Cambria"/>
          <w:sz w:val="22"/>
          <w:szCs w:val="22"/>
        </w:rPr>
        <w:t xml:space="preserve"> of the </w:t>
      </w:r>
      <w:hyperlink r:id="rId10" w:history="1">
        <w:r w:rsidR="000712D8" w:rsidRPr="00404DD1">
          <w:rPr>
            <w:rStyle w:val="Hyperlink"/>
            <w:rFonts w:ascii="Cambria" w:hAnsi="Cambria"/>
            <w:color w:val="0070C0"/>
            <w:sz w:val="22"/>
            <w:szCs w:val="22"/>
          </w:rPr>
          <w:t>United Nations</w:t>
        </w:r>
      </w:hyperlink>
      <w:r w:rsidR="002E21F5">
        <w:rPr>
          <w:rFonts w:ascii="Cambria" w:hAnsi="Cambria"/>
          <w:sz w:val="22"/>
          <w:szCs w:val="22"/>
        </w:rPr>
        <w:t xml:space="preserve"> in Haiti</w:t>
      </w:r>
      <w:r w:rsidR="000712D8" w:rsidRPr="00951EB6">
        <w:rPr>
          <w:rFonts w:ascii="Cambria" w:hAnsi="Cambria"/>
          <w:sz w:val="22"/>
          <w:szCs w:val="22"/>
        </w:rPr>
        <w:t>, im</w:t>
      </w:r>
      <w:r w:rsidR="00651053" w:rsidRPr="00951EB6">
        <w:rPr>
          <w:rFonts w:ascii="Cambria" w:hAnsi="Cambria"/>
          <w:sz w:val="22"/>
          <w:szCs w:val="22"/>
        </w:rPr>
        <w:t>munity</w:t>
      </w:r>
      <w:r w:rsidR="009838C0">
        <w:rPr>
          <w:rFonts w:ascii="Cambria" w:hAnsi="Cambria"/>
          <w:sz w:val="22"/>
          <w:szCs w:val="22"/>
        </w:rPr>
        <w:t xml:space="preserve"> that </w:t>
      </w:r>
      <w:r w:rsidR="006E5E48">
        <w:rPr>
          <w:rFonts w:ascii="Cambria" w:hAnsi="Cambria"/>
          <w:sz w:val="22"/>
          <w:szCs w:val="22"/>
        </w:rPr>
        <w:t xml:space="preserve">results </w:t>
      </w:r>
      <w:r w:rsidR="009838C0">
        <w:rPr>
          <w:rFonts w:ascii="Cambria" w:hAnsi="Cambria"/>
          <w:sz w:val="22"/>
          <w:szCs w:val="22"/>
        </w:rPr>
        <w:t>in impunity</w:t>
      </w:r>
      <w:r w:rsidR="00BE0323">
        <w:rPr>
          <w:rFonts w:ascii="Cambria" w:hAnsi="Cambria"/>
          <w:sz w:val="22"/>
          <w:szCs w:val="22"/>
        </w:rPr>
        <w:t xml:space="preserve"> for recklessly introducing cholera</w:t>
      </w:r>
      <w:r w:rsidR="009838C0">
        <w:rPr>
          <w:rFonts w:ascii="Cambria" w:hAnsi="Cambria"/>
          <w:sz w:val="22"/>
          <w:szCs w:val="22"/>
        </w:rPr>
        <w:t xml:space="preserve">. </w:t>
      </w:r>
      <w:r w:rsidR="008D19C9">
        <w:rPr>
          <w:rFonts w:ascii="Cambria" w:hAnsi="Cambria"/>
          <w:sz w:val="22"/>
          <w:szCs w:val="22"/>
        </w:rPr>
        <w:t xml:space="preserve">The </w:t>
      </w:r>
      <w:hyperlink r:id="rId11" w:history="1">
        <w:r w:rsidR="00500DA5" w:rsidRPr="00404DD1">
          <w:rPr>
            <w:rStyle w:val="Hyperlink"/>
            <w:rFonts w:ascii="Cambria" w:hAnsi="Cambria"/>
            <w:color w:val="0070C0"/>
            <w:sz w:val="22"/>
            <w:szCs w:val="22"/>
          </w:rPr>
          <w:t>American Red Cross</w:t>
        </w:r>
      </w:hyperlink>
      <w:r w:rsidR="00500DA5" w:rsidRPr="00404DD1">
        <w:rPr>
          <w:rFonts w:ascii="Cambria" w:hAnsi="Cambria"/>
          <w:color w:val="0070C0"/>
          <w:sz w:val="22"/>
          <w:szCs w:val="22"/>
        </w:rPr>
        <w:t xml:space="preserve"> </w:t>
      </w:r>
      <w:r w:rsidR="008D19C9">
        <w:rPr>
          <w:rFonts w:ascii="Cambria" w:hAnsi="Cambria"/>
          <w:sz w:val="22"/>
          <w:szCs w:val="22"/>
        </w:rPr>
        <w:t xml:space="preserve">refused to disclose information about its program </w:t>
      </w:r>
      <w:r w:rsidR="00661B98">
        <w:rPr>
          <w:rFonts w:ascii="Cambria" w:hAnsi="Cambria"/>
          <w:sz w:val="22"/>
          <w:szCs w:val="22"/>
        </w:rPr>
        <w:t xml:space="preserve">in Haiti </w:t>
      </w:r>
      <w:r w:rsidR="008D19C9">
        <w:rPr>
          <w:rFonts w:ascii="Cambria" w:hAnsi="Cambria"/>
          <w:sz w:val="22"/>
          <w:szCs w:val="22"/>
        </w:rPr>
        <w:t xml:space="preserve">to </w:t>
      </w:r>
      <w:r w:rsidR="00661B98">
        <w:rPr>
          <w:rFonts w:ascii="Cambria" w:hAnsi="Cambria"/>
          <w:sz w:val="22"/>
          <w:szCs w:val="22"/>
        </w:rPr>
        <w:t>U.S. congressional investigators after a scandal that the organization claimed to have provided homes to 130,000 Haitians but only built six permanent homes.</w:t>
      </w:r>
      <w:r w:rsidR="008D19C9">
        <w:rPr>
          <w:rFonts w:ascii="Cambria" w:hAnsi="Cambria"/>
          <w:sz w:val="22"/>
          <w:szCs w:val="22"/>
        </w:rPr>
        <w:t xml:space="preserve"> </w:t>
      </w:r>
    </w:p>
    <w:p w14:paraId="1A63ADA6" w14:textId="77777777" w:rsidR="001003CA" w:rsidRDefault="001003CA" w:rsidP="00B25484">
      <w:pPr>
        <w:ind w:right="-180"/>
        <w:jc w:val="both"/>
        <w:rPr>
          <w:rFonts w:ascii="Cambria" w:hAnsi="Cambria"/>
          <w:sz w:val="22"/>
          <w:szCs w:val="22"/>
        </w:rPr>
      </w:pPr>
    </w:p>
    <w:p w14:paraId="53085D38" w14:textId="2AC2BD88" w:rsidR="00BE0323" w:rsidRDefault="00BE0323" w:rsidP="00B25484">
      <w:pPr>
        <w:ind w:righ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All </w:t>
      </w:r>
      <w:r w:rsidR="00661B98">
        <w:rPr>
          <w:rFonts w:ascii="Cambria" w:hAnsi="Cambria"/>
          <w:sz w:val="22"/>
          <w:szCs w:val="22"/>
        </w:rPr>
        <w:t xml:space="preserve">of </w:t>
      </w:r>
      <w:r>
        <w:rPr>
          <w:rFonts w:ascii="Cambria" w:hAnsi="Cambria"/>
          <w:sz w:val="22"/>
          <w:szCs w:val="22"/>
        </w:rPr>
        <w:t>these accountability failures stem from a refusal of humanitarian actors to allow the people they claim to help</w:t>
      </w:r>
      <w:r w:rsidR="006629E2">
        <w:rPr>
          <w:rFonts w:ascii="Cambria" w:hAnsi="Cambria"/>
          <w:sz w:val="22"/>
          <w:szCs w:val="22"/>
        </w:rPr>
        <w:t xml:space="preserve"> - t</w:t>
      </w:r>
      <w:r>
        <w:rPr>
          <w:rFonts w:ascii="Cambria" w:hAnsi="Cambria"/>
          <w:sz w:val="22"/>
          <w:szCs w:val="22"/>
        </w:rPr>
        <w:t>he government and people of Haiti and countries like it</w:t>
      </w:r>
      <w:r w:rsidR="006629E2">
        <w:rPr>
          <w:rFonts w:ascii="Cambria" w:hAnsi="Cambria"/>
          <w:sz w:val="22"/>
          <w:szCs w:val="22"/>
        </w:rPr>
        <w:t xml:space="preserve"> - </w:t>
      </w:r>
      <w:r>
        <w:rPr>
          <w:rFonts w:ascii="Cambria" w:hAnsi="Cambria"/>
          <w:sz w:val="22"/>
          <w:szCs w:val="22"/>
        </w:rPr>
        <w:t>exact any consequences for the humanit</w:t>
      </w:r>
      <w:r w:rsidRPr="001003CA">
        <w:rPr>
          <w:rFonts w:ascii="Cambria" w:hAnsi="Cambria"/>
          <w:sz w:val="22"/>
          <w:szCs w:val="22"/>
        </w:rPr>
        <w:t>arian actors’ failure to live up to legal and sector standards.</w:t>
      </w:r>
      <w:r w:rsidR="001003CA" w:rsidRPr="001003CA">
        <w:rPr>
          <w:rFonts w:ascii="Cambria" w:hAnsi="Cambria"/>
          <w:sz w:val="22"/>
          <w:szCs w:val="22"/>
        </w:rPr>
        <w:t xml:space="preserve"> L</w:t>
      </w:r>
      <w:r w:rsidR="001003CA">
        <w:rPr>
          <w:rFonts w:ascii="Cambria" w:hAnsi="Cambria"/>
          <w:sz w:val="22"/>
          <w:szCs w:val="22"/>
        </w:rPr>
        <w:t xml:space="preserve">ack of accountability also </w:t>
      </w:r>
      <w:r w:rsidR="001003CA" w:rsidRPr="001003CA">
        <w:rPr>
          <w:rFonts w:ascii="Cambria" w:hAnsi="Cambria"/>
          <w:sz w:val="22"/>
          <w:szCs w:val="22"/>
        </w:rPr>
        <w:t xml:space="preserve">reinforces the marginalization of </w:t>
      </w:r>
      <w:r w:rsidR="00405344">
        <w:rPr>
          <w:rFonts w:ascii="Cambria" w:hAnsi="Cambria"/>
          <w:sz w:val="22"/>
          <w:szCs w:val="22"/>
        </w:rPr>
        <w:t xml:space="preserve">inhabitants of </w:t>
      </w:r>
      <w:r w:rsidR="001003CA" w:rsidRPr="001003CA">
        <w:rPr>
          <w:rFonts w:ascii="Cambria" w:hAnsi="Cambria"/>
          <w:sz w:val="22"/>
          <w:szCs w:val="22"/>
        </w:rPr>
        <w:t>global south countries and structures of racism</w:t>
      </w:r>
      <w:r w:rsidR="001003CA">
        <w:rPr>
          <w:rFonts w:ascii="Cambria" w:hAnsi="Cambria"/>
          <w:sz w:val="22"/>
          <w:szCs w:val="22"/>
        </w:rPr>
        <w:t>.</w:t>
      </w:r>
    </w:p>
    <w:p w14:paraId="7AD5F2C0" w14:textId="7A66C109" w:rsidR="00BE0323" w:rsidRDefault="00BE0323" w:rsidP="00B25484">
      <w:pPr>
        <w:ind w:righ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</w:p>
    <w:p w14:paraId="50F2149B" w14:textId="5D8C4177" w:rsidR="00C25AC0" w:rsidRDefault="00D27BBA" w:rsidP="00B25484">
      <w:pPr>
        <w:ind w:righ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Vetting staff for past complaints and allegations</w:t>
      </w:r>
      <w:r w:rsidR="009838C0">
        <w:rPr>
          <w:rFonts w:ascii="Cambria" w:hAnsi="Cambria"/>
          <w:color w:val="000000"/>
          <w:sz w:val="22"/>
          <w:szCs w:val="22"/>
        </w:rPr>
        <w:t xml:space="preserve"> before employment, promotion or interagency transfer </w:t>
      </w:r>
      <w:r>
        <w:rPr>
          <w:rFonts w:ascii="Cambria" w:hAnsi="Cambria"/>
          <w:color w:val="000000"/>
          <w:sz w:val="22"/>
          <w:szCs w:val="22"/>
        </w:rPr>
        <w:t xml:space="preserve">is </w:t>
      </w:r>
      <w:r w:rsidR="001F0D23">
        <w:rPr>
          <w:rFonts w:ascii="Cambria" w:hAnsi="Cambria"/>
          <w:color w:val="000000"/>
          <w:sz w:val="22"/>
          <w:szCs w:val="22"/>
        </w:rPr>
        <w:t xml:space="preserve">crucial to preventing misconduct, as is maintaining </w:t>
      </w:r>
      <w:r w:rsidR="001F0D23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a diverse and gender-balanced wo</w:t>
      </w:r>
      <w:r w:rsidR="001F0D23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rkplace. </w:t>
      </w:r>
      <w:r w:rsidR="001F0D23">
        <w:rPr>
          <w:rFonts w:ascii="Cambria" w:hAnsi="Cambria"/>
          <w:color w:val="000000"/>
          <w:sz w:val="22"/>
          <w:szCs w:val="22"/>
        </w:rPr>
        <w:t>B</w:t>
      </w:r>
      <w:r>
        <w:rPr>
          <w:rFonts w:ascii="Cambria" w:hAnsi="Cambria"/>
          <w:color w:val="000000"/>
          <w:sz w:val="22"/>
          <w:szCs w:val="22"/>
        </w:rPr>
        <w:t>ut a</w:t>
      </w:r>
      <w:r w:rsidR="00D42A2F" w:rsidRPr="00951EB6">
        <w:rPr>
          <w:rFonts w:ascii="Cambria" w:hAnsi="Cambria"/>
          <w:color w:val="000000"/>
          <w:sz w:val="22"/>
          <w:szCs w:val="22"/>
        </w:rPr>
        <w:t xml:space="preserve">ccountability is essential to restoring trust of both beneficiaries and donors. </w:t>
      </w:r>
      <w:r>
        <w:rPr>
          <w:rFonts w:ascii="Cambria" w:hAnsi="Cambria"/>
          <w:color w:val="000000"/>
          <w:sz w:val="22"/>
          <w:szCs w:val="22"/>
        </w:rPr>
        <w:t>A</w:t>
      </w:r>
      <w:r w:rsidR="000712D8" w:rsidRPr="00951EB6">
        <w:rPr>
          <w:rFonts w:ascii="Cambria" w:hAnsi="Cambria"/>
          <w:sz w:val="22"/>
          <w:szCs w:val="22"/>
        </w:rPr>
        <w:t xml:space="preserve"> </w:t>
      </w:r>
      <w:r w:rsidR="00C4696F" w:rsidRPr="00951EB6">
        <w:rPr>
          <w:rFonts w:ascii="Cambria" w:hAnsi="Cambria"/>
          <w:sz w:val="22"/>
          <w:szCs w:val="22"/>
        </w:rPr>
        <w:t xml:space="preserve">sector-wide </w:t>
      </w:r>
      <w:r w:rsidR="000712D8" w:rsidRPr="00951EB6">
        <w:rPr>
          <w:rFonts w:ascii="Cambria" w:hAnsi="Cambria"/>
          <w:sz w:val="22"/>
          <w:szCs w:val="22"/>
        </w:rPr>
        <w:t>accountability system must be established</w:t>
      </w:r>
      <w:r w:rsidR="00C4696F" w:rsidRPr="00951EB6">
        <w:rPr>
          <w:rFonts w:ascii="Cambria" w:hAnsi="Cambria"/>
          <w:sz w:val="22"/>
          <w:szCs w:val="22"/>
        </w:rPr>
        <w:t xml:space="preserve"> that </w:t>
      </w:r>
      <w:r w:rsidR="004472C7" w:rsidRPr="00951EB6">
        <w:rPr>
          <w:rFonts w:ascii="Cambria" w:hAnsi="Cambria"/>
          <w:sz w:val="22"/>
          <w:szCs w:val="22"/>
        </w:rPr>
        <w:t xml:space="preserve">recognizes the inherent power imbalance between aid workers and beneficiaries, and </w:t>
      </w:r>
      <w:r w:rsidR="000712D8" w:rsidRPr="00951EB6">
        <w:rPr>
          <w:rFonts w:ascii="Cambria" w:hAnsi="Cambria"/>
          <w:sz w:val="22"/>
          <w:szCs w:val="22"/>
        </w:rPr>
        <w:t>give</w:t>
      </w:r>
      <w:r w:rsidR="00C4696F" w:rsidRPr="00951EB6">
        <w:rPr>
          <w:rFonts w:ascii="Cambria" w:hAnsi="Cambria"/>
          <w:sz w:val="22"/>
          <w:szCs w:val="22"/>
        </w:rPr>
        <w:t xml:space="preserve">s </w:t>
      </w:r>
      <w:r w:rsidR="002B64A2">
        <w:rPr>
          <w:rFonts w:ascii="Cambria" w:hAnsi="Cambria"/>
          <w:sz w:val="22"/>
          <w:szCs w:val="22"/>
        </w:rPr>
        <w:t>victims</w:t>
      </w:r>
      <w:r w:rsidR="000712D8" w:rsidRPr="00951EB6">
        <w:rPr>
          <w:rFonts w:ascii="Cambria" w:hAnsi="Cambria"/>
          <w:sz w:val="22"/>
          <w:szCs w:val="22"/>
        </w:rPr>
        <w:t xml:space="preserve"> </w:t>
      </w:r>
      <w:r w:rsidR="00BF6386">
        <w:rPr>
          <w:rFonts w:ascii="Cambria" w:hAnsi="Cambria"/>
          <w:sz w:val="22"/>
          <w:szCs w:val="22"/>
        </w:rPr>
        <w:t xml:space="preserve">a </w:t>
      </w:r>
      <w:r w:rsidR="000712D8" w:rsidRPr="00951EB6">
        <w:rPr>
          <w:rFonts w:ascii="Cambria" w:hAnsi="Cambria"/>
          <w:sz w:val="22"/>
          <w:szCs w:val="22"/>
        </w:rPr>
        <w:t>mechanism</w:t>
      </w:r>
      <w:r w:rsidR="00D07E98" w:rsidRPr="00951EB6">
        <w:rPr>
          <w:rFonts w:ascii="Cambria" w:hAnsi="Cambria"/>
          <w:sz w:val="22"/>
          <w:szCs w:val="22"/>
        </w:rPr>
        <w:t xml:space="preserve"> to file a complaint on issues ranging from sexual misconduct to aid delivery. </w:t>
      </w:r>
    </w:p>
    <w:p w14:paraId="4509B4AC" w14:textId="02ED1D5E" w:rsidR="0015102D" w:rsidRPr="00951EB6" w:rsidRDefault="007830FC" w:rsidP="00B25484">
      <w:pPr>
        <w:ind w:right="-180"/>
        <w:jc w:val="both"/>
        <w:rPr>
          <w:rFonts w:ascii="Cambria" w:hAnsi="Cambria"/>
          <w:sz w:val="22"/>
          <w:szCs w:val="22"/>
        </w:rPr>
      </w:pPr>
      <w:r w:rsidRPr="00951EB6">
        <w:rPr>
          <w:rFonts w:ascii="Cambria" w:hAnsi="Cambria"/>
          <w:sz w:val="22"/>
          <w:szCs w:val="22"/>
        </w:rPr>
        <w:t xml:space="preserve"> </w:t>
      </w:r>
    </w:p>
    <w:p w14:paraId="5487D15A" w14:textId="324245F2" w:rsidR="00F335BB" w:rsidRPr="00951EB6" w:rsidRDefault="00783C9E" w:rsidP="00B254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18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Sector-</w:t>
      </w:r>
      <w:r w:rsidR="00F335BB" w:rsidRPr="00951EB6">
        <w:rPr>
          <w:rFonts w:ascii="Cambria" w:hAnsi="Cambria"/>
          <w:b/>
          <w:sz w:val="22"/>
          <w:szCs w:val="22"/>
        </w:rPr>
        <w:t>Wide Inquiry</w:t>
      </w:r>
    </w:p>
    <w:p w14:paraId="089DF173" w14:textId="36FF036E" w:rsidR="000C000C" w:rsidRPr="00951EB6" w:rsidRDefault="00783C9E" w:rsidP="00B25484">
      <w:pPr>
        <w:ind w:righ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="00F335BB" w:rsidRPr="00951EB6">
        <w:rPr>
          <w:rFonts w:ascii="Cambria" w:hAnsi="Cambria"/>
          <w:sz w:val="22"/>
          <w:szCs w:val="22"/>
        </w:rPr>
        <w:t>n independent inquiry should conduct a sector-wide review of accountability structures and pr</w:t>
      </w:r>
      <w:r>
        <w:rPr>
          <w:rFonts w:ascii="Cambria" w:hAnsi="Cambria"/>
          <w:sz w:val="22"/>
          <w:szCs w:val="22"/>
        </w:rPr>
        <w:t xml:space="preserve">ocedures </w:t>
      </w:r>
      <w:r w:rsidR="00F335BB" w:rsidRPr="00951EB6">
        <w:rPr>
          <w:rFonts w:ascii="Cambria" w:hAnsi="Cambria"/>
          <w:sz w:val="22"/>
          <w:szCs w:val="22"/>
        </w:rPr>
        <w:t xml:space="preserve">already in place. </w:t>
      </w:r>
      <w:r w:rsidR="005A4CBD">
        <w:rPr>
          <w:rFonts w:ascii="Cambria" w:hAnsi="Cambria"/>
          <w:sz w:val="22"/>
          <w:szCs w:val="22"/>
        </w:rPr>
        <w:t xml:space="preserve">It should address </w:t>
      </w:r>
      <w:r w:rsidR="006E5E48">
        <w:rPr>
          <w:rFonts w:ascii="Cambria" w:hAnsi="Cambria"/>
          <w:sz w:val="22"/>
          <w:szCs w:val="22"/>
        </w:rPr>
        <w:t>what standards and agreements already exis</w:t>
      </w:r>
      <w:r w:rsidR="00F50558">
        <w:rPr>
          <w:rFonts w:ascii="Cambria" w:hAnsi="Cambria"/>
          <w:sz w:val="22"/>
          <w:szCs w:val="22"/>
        </w:rPr>
        <w:t>t to govern humanitarian actors</w:t>
      </w:r>
      <w:r w:rsidR="00F335BB" w:rsidRPr="00951EB6">
        <w:rPr>
          <w:rFonts w:ascii="Cambria" w:hAnsi="Cambria"/>
          <w:sz w:val="22"/>
          <w:szCs w:val="22"/>
        </w:rPr>
        <w:t xml:space="preserve"> and</w:t>
      </w:r>
      <w:r w:rsidR="006E5E48">
        <w:rPr>
          <w:rFonts w:ascii="Cambria" w:hAnsi="Cambria"/>
          <w:sz w:val="22"/>
          <w:szCs w:val="22"/>
        </w:rPr>
        <w:t xml:space="preserve"> where the current processes are failing</w:t>
      </w:r>
      <w:r w:rsidR="005A4CBD">
        <w:rPr>
          <w:rFonts w:ascii="Cambria" w:hAnsi="Cambria"/>
          <w:sz w:val="22"/>
          <w:szCs w:val="22"/>
        </w:rPr>
        <w:t>.  The review should examine</w:t>
      </w:r>
      <w:r w:rsidR="00F335BB" w:rsidRPr="00951EB6">
        <w:rPr>
          <w:rFonts w:ascii="Cambria" w:hAnsi="Cambria"/>
          <w:sz w:val="22"/>
          <w:szCs w:val="22"/>
        </w:rPr>
        <w:t xml:space="preserve"> internal operations (</w:t>
      </w:r>
      <w:r w:rsidR="00ED482C" w:rsidRPr="00951EB6">
        <w:rPr>
          <w:rFonts w:ascii="Cambria" w:hAnsi="Cambria"/>
          <w:sz w:val="22"/>
          <w:szCs w:val="22"/>
        </w:rPr>
        <w:t xml:space="preserve">interactions among foreign and local staff) </w:t>
      </w:r>
      <w:r w:rsidR="00F335BB" w:rsidRPr="00951EB6">
        <w:rPr>
          <w:rFonts w:ascii="Cambria" w:hAnsi="Cambria"/>
          <w:sz w:val="22"/>
          <w:szCs w:val="22"/>
        </w:rPr>
        <w:t>and external (</w:t>
      </w:r>
      <w:r w:rsidR="000C000C" w:rsidRPr="00951EB6">
        <w:rPr>
          <w:rFonts w:ascii="Cambria" w:hAnsi="Cambria"/>
          <w:sz w:val="22"/>
          <w:szCs w:val="22"/>
        </w:rPr>
        <w:t>interactions between staff and aid beneficiaries</w:t>
      </w:r>
      <w:r w:rsidR="00F335BB" w:rsidRPr="00951EB6">
        <w:rPr>
          <w:rFonts w:ascii="Cambria" w:hAnsi="Cambria"/>
          <w:sz w:val="22"/>
          <w:szCs w:val="22"/>
        </w:rPr>
        <w:t>). A sector-wide inquiry will reveal what kinds of complaint mechanisms are in place for victims, whether those mechanisms are accessible, what kinds of services are available to those</w:t>
      </w:r>
      <w:r w:rsidR="00ED482C" w:rsidRPr="00951EB6">
        <w:rPr>
          <w:rFonts w:ascii="Cambria" w:hAnsi="Cambria"/>
          <w:sz w:val="22"/>
          <w:szCs w:val="22"/>
        </w:rPr>
        <w:t xml:space="preserve"> who do report, and whether </w:t>
      </w:r>
      <w:r w:rsidR="00F335BB" w:rsidRPr="00951EB6">
        <w:rPr>
          <w:rFonts w:ascii="Cambria" w:hAnsi="Cambria"/>
          <w:sz w:val="22"/>
          <w:szCs w:val="22"/>
        </w:rPr>
        <w:t xml:space="preserve">complaints are being </w:t>
      </w:r>
      <w:r w:rsidR="00ED482C" w:rsidRPr="00951EB6">
        <w:rPr>
          <w:rFonts w:ascii="Cambria" w:hAnsi="Cambria"/>
          <w:sz w:val="22"/>
          <w:szCs w:val="22"/>
        </w:rPr>
        <w:t>resolved fairly and adequately.</w:t>
      </w:r>
    </w:p>
    <w:p w14:paraId="29F073F9" w14:textId="77777777" w:rsidR="000C000C" w:rsidRPr="00951EB6" w:rsidRDefault="000C000C" w:rsidP="00B25484">
      <w:pPr>
        <w:ind w:right="-180"/>
        <w:jc w:val="both"/>
        <w:rPr>
          <w:rFonts w:ascii="Cambria" w:hAnsi="Cambria"/>
          <w:sz w:val="22"/>
          <w:szCs w:val="22"/>
        </w:rPr>
      </w:pPr>
    </w:p>
    <w:p w14:paraId="74A18D69" w14:textId="77777777" w:rsidR="00F335BB" w:rsidRPr="00951EB6" w:rsidRDefault="00F335BB" w:rsidP="00B254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180"/>
        <w:contextualSpacing/>
        <w:jc w:val="both"/>
        <w:rPr>
          <w:rFonts w:ascii="Cambria" w:hAnsi="Cambria"/>
          <w:sz w:val="22"/>
          <w:szCs w:val="22"/>
        </w:rPr>
      </w:pPr>
      <w:r w:rsidRPr="00951EB6">
        <w:rPr>
          <w:rFonts w:ascii="Cambria" w:hAnsi="Cambria"/>
          <w:b/>
          <w:sz w:val="22"/>
          <w:szCs w:val="22"/>
        </w:rPr>
        <w:t>Robust sector wide accountability standards</w:t>
      </w:r>
    </w:p>
    <w:p w14:paraId="201AAB1A" w14:textId="5C46C766" w:rsidR="003836C2" w:rsidRPr="00951EB6" w:rsidRDefault="005A4CBD" w:rsidP="003836C2">
      <w:pPr>
        <w:ind w:righ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 humanitarian aid sector should</w:t>
      </w:r>
      <w:r w:rsidR="00F335BB" w:rsidRPr="00951EB6">
        <w:rPr>
          <w:rFonts w:ascii="Cambria" w:hAnsi="Cambria"/>
          <w:sz w:val="22"/>
          <w:szCs w:val="22"/>
        </w:rPr>
        <w:t xml:space="preserve"> adopt </w:t>
      </w:r>
      <w:r w:rsidR="00B56CA3">
        <w:rPr>
          <w:rFonts w:ascii="Cambria" w:hAnsi="Cambria"/>
          <w:sz w:val="22"/>
          <w:szCs w:val="22"/>
        </w:rPr>
        <w:t>r</w:t>
      </w:r>
      <w:r w:rsidR="00F335BB" w:rsidRPr="00951EB6">
        <w:rPr>
          <w:rFonts w:ascii="Cambria" w:hAnsi="Cambria"/>
          <w:sz w:val="22"/>
          <w:szCs w:val="22"/>
        </w:rPr>
        <w:t>eporting and accountability standards for all external and in</w:t>
      </w:r>
      <w:r>
        <w:rPr>
          <w:rFonts w:ascii="Cambria" w:hAnsi="Cambria"/>
          <w:sz w:val="22"/>
          <w:szCs w:val="22"/>
        </w:rPr>
        <w:t xml:space="preserve">ternal operations.  The sector, </w:t>
      </w:r>
      <w:r w:rsidR="00F335BB" w:rsidRPr="00951EB6">
        <w:rPr>
          <w:rFonts w:ascii="Cambria" w:hAnsi="Cambria"/>
          <w:sz w:val="22"/>
          <w:szCs w:val="22"/>
        </w:rPr>
        <w:t>including NGOs, inter-governmental organization</w:t>
      </w:r>
      <w:r>
        <w:rPr>
          <w:rFonts w:ascii="Cambria" w:hAnsi="Cambria"/>
          <w:sz w:val="22"/>
          <w:szCs w:val="22"/>
        </w:rPr>
        <w:t>s (IGOs), and donor governments,</w:t>
      </w:r>
      <w:r w:rsidR="00F335BB" w:rsidRPr="00951EB6">
        <w:rPr>
          <w:rFonts w:ascii="Cambria" w:hAnsi="Cambria"/>
          <w:sz w:val="22"/>
          <w:szCs w:val="22"/>
        </w:rPr>
        <w:t xml:space="preserve"> have already committed</w:t>
      </w:r>
      <w:r w:rsidR="00023E3A" w:rsidRPr="00951EB6">
        <w:rPr>
          <w:rFonts w:ascii="Cambria" w:hAnsi="Cambria"/>
          <w:sz w:val="22"/>
          <w:szCs w:val="22"/>
        </w:rPr>
        <w:t>, in principle,</w:t>
      </w:r>
      <w:r w:rsidR="00F335BB" w:rsidRPr="00951EB6">
        <w:rPr>
          <w:rFonts w:ascii="Cambria" w:hAnsi="Cambria"/>
          <w:sz w:val="22"/>
          <w:szCs w:val="22"/>
        </w:rPr>
        <w:t xml:space="preserve"> to a</w:t>
      </w:r>
      <w:hyperlink r:id="rId12">
        <w:r w:rsidR="00F335BB" w:rsidRPr="00951EB6">
          <w:rPr>
            <w:rFonts w:ascii="Cambria" w:hAnsi="Cambria"/>
            <w:sz w:val="22"/>
            <w:szCs w:val="22"/>
          </w:rPr>
          <w:t xml:space="preserve"> </w:t>
        </w:r>
      </w:hyperlink>
      <w:hyperlink r:id="rId13">
        <w:r w:rsidR="00F335BB" w:rsidRPr="00951EB6">
          <w:rPr>
            <w:rFonts w:ascii="Cambria" w:hAnsi="Cambria"/>
            <w:color w:val="1155CC"/>
            <w:sz w:val="22"/>
            <w:szCs w:val="22"/>
            <w:u w:val="single"/>
          </w:rPr>
          <w:t>rights</w:t>
        </w:r>
        <w:r w:rsidR="00023E3A" w:rsidRPr="00951EB6">
          <w:rPr>
            <w:rFonts w:ascii="Cambria" w:hAnsi="Cambria"/>
            <w:color w:val="1155CC"/>
            <w:sz w:val="22"/>
            <w:szCs w:val="22"/>
            <w:u w:val="single"/>
          </w:rPr>
          <w:t>-</w:t>
        </w:r>
        <w:r w:rsidR="00F335BB" w:rsidRPr="00951EB6">
          <w:rPr>
            <w:rFonts w:ascii="Cambria" w:hAnsi="Cambria"/>
            <w:color w:val="1155CC"/>
            <w:sz w:val="22"/>
            <w:szCs w:val="22"/>
            <w:u w:val="single"/>
          </w:rPr>
          <w:t>based approach</w:t>
        </w:r>
      </w:hyperlink>
      <w:r w:rsidR="00F335BB" w:rsidRPr="00951EB6">
        <w:rPr>
          <w:rFonts w:ascii="Cambria" w:hAnsi="Cambria"/>
          <w:sz w:val="22"/>
          <w:szCs w:val="22"/>
        </w:rPr>
        <w:t xml:space="preserve"> for aid distribution adopted by the U</w:t>
      </w:r>
      <w:r w:rsidR="00651053" w:rsidRPr="00951EB6">
        <w:rPr>
          <w:rFonts w:ascii="Cambria" w:hAnsi="Cambria"/>
          <w:sz w:val="22"/>
          <w:szCs w:val="22"/>
        </w:rPr>
        <w:t>N</w:t>
      </w:r>
      <w:r w:rsidR="00BF6386">
        <w:rPr>
          <w:rFonts w:ascii="Cambria" w:hAnsi="Cambria"/>
          <w:sz w:val="22"/>
          <w:szCs w:val="22"/>
        </w:rPr>
        <w:t>,</w:t>
      </w:r>
      <w:r w:rsidR="00F335BB" w:rsidRPr="00951EB6">
        <w:rPr>
          <w:rFonts w:ascii="Cambria" w:hAnsi="Cambria"/>
          <w:sz w:val="22"/>
          <w:szCs w:val="22"/>
        </w:rPr>
        <w:t xml:space="preserve"> which: (1) prior</w:t>
      </w:r>
      <w:r w:rsidR="0087253F">
        <w:rPr>
          <w:rFonts w:ascii="Cambria" w:hAnsi="Cambria"/>
          <w:sz w:val="22"/>
          <w:szCs w:val="22"/>
        </w:rPr>
        <w:t xml:space="preserve">itizes capacity-building of </w:t>
      </w:r>
      <w:r w:rsidR="00F335BB" w:rsidRPr="00951EB6">
        <w:rPr>
          <w:rFonts w:ascii="Cambria" w:hAnsi="Cambria"/>
          <w:sz w:val="22"/>
          <w:szCs w:val="22"/>
        </w:rPr>
        <w:t>local government</w:t>
      </w:r>
      <w:r w:rsidR="0087253F">
        <w:rPr>
          <w:rFonts w:ascii="Cambria" w:hAnsi="Cambria"/>
          <w:sz w:val="22"/>
          <w:szCs w:val="22"/>
        </w:rPr>
        <w:t>s</w:t>
      </w:r>
      <w:r w:rsidR="00F335BB" w:rsidRPr="00951EB6">
        <w:rPr>
          <w:rFonts w:ascii="Cambria" w:hAnsi="Cambria"/>
          <w:sz w:val="22"/>
          <w:szCs w:val="22"/>
        </w:rPr>
        <w:t xml:space="preserve"> and civil society; (2) ensures participation of</w:t>
      </w:r>
      <w:r w:rsidR="0087253F">
        <w:rPr>
          <w:rFonts w:ascii="Cambria" w:hAnsi="Cambria"/>
          <w:sz w:val="22"/>
          <w:szCs w:val="22"/>
        </w:rPr>
        <w:t xml:space="preserve"> communities receiving aid; (3) </w:t>
      </w:r>
      <w:r w:rsidR="00F335BB" w:rsidRPr="00951EB6">
        <w:rPr>
          <w:rFonts w:ascii="Cambria" w:hAnsi="Cambria"/>
          <w:sz w:val="22"/>
          <w:szCs w:val="22"/>
        </w:rPr>
        <w:t>practices transparency by making information accessible to the community; (4) ensures accountability to the</w:t>
      </w:r>
      <w:r w:rsidR="00651053" w:rsidRPr="00951EB6">
        <w:rPr>
          <w:rFonts w:ascii="Cambria" w:hAnsi="Cambria"/>
          <w:sz w:val="22"/>
          <w:szCs w:val="22"/>
        </w:rPr>
        <w:t xml:space="preserve"> target communities and host </w:t>
      </w:r>
      <w:r w:rsidR="00F335BB" w:rsidRPr="00951EB6">
        <w:rPr>
          <w:rFonts w:ascii="Cambria" w:hAnsi="Cambria"/>
          <w:sz w:val="22"/>
          <w:szCs w:val="22"/>
        </w:rPr>
        <w:t xml:space="preserve">government by providing monitoring, evaluation and complaint procedures; and (5) </w:t>
      </w:r>
      <w:r w:rsidR="00BF6386">
        <w:rPr>
          <w:rFonts w:ascii="Cambria" w:hAnsi="Cambria"/>
          <w:sz w:val="22"/>
          <w:szCs w:val="22"/>
        </w:rPr>
        <w:t>e</w:t>
      </w:r>
      <w:r w:rsidR="00F335BB" w:rsidRPr="00951EB6">
        <w:rPr>
          <w:rFonts w:ascii="Cambria" w:hAnsi="Cambria"/>
          <w:sz w:val="22"/>
          <w:szCs w:val="22"/>
        </w:rPr>
        <w:t>nsur</w:t>
      </w:r>
      <w:r w:rsidR="00BF6386">
        <w:rPr>
          <w:rFonts w:ascii="Cambria" w:hAnsi="Cambria"/>
          <w:sz w:val="22"/>
          <w:szCs w:val="22"/>
        </w:rPr>
        <w:t>es</w:t>
      </w:r>
      <w:r w:rsidR="00F335BB" w:rsidRPr="00951EB6">
        <w:rPr>
          <w:rFonts w:ascii="Cambria" w:hAnsi="Cambria"/>
          <w:sz w:val="22"/>
          <w:szCs w:val="22"/>
        </w:rPr>
        <w:t xml:space="preserve"> </w:t>
      </w:r>
      <w:r w:rsidR="00F335BB" w:rsidRPr="00951EB6">
        <w:rPr>
          <w:rFonts w:ascii="Cambria" w:hAnsi="Cambria"/>
          <w:sz w:val="22"/>
          <w:szCs w:val="22"/>
        </w:rPr>
        <w:lastRenderedPageBreak/>
        <w:t xml:space="preserve">that the assistance does not discriminate against marginalized groups, </w:t>
      </w:r>
      <w:r w:rsidR="00BF6386">
        <w:rPr>
          <w:rFonts w:ascii="Cambria" w:hAnsi="Cambria"/>
          <w:sz w:val="22"/>
          <w:szCs w:val="22"/>
        </w:rPr>
        <w:t xml:space="preserve">particularly </w:t>
      </w:r>
      <w:r w:rsidR="00F335BB" w:rsidRPr="00951EB6">
        <w:rPr>
          <w:rFonts w:ascii="Cambria" w:hAnsi="Cambria"/>
          <w:sz w:val="22"/>
          <w:szCs w:val="22"/>
        </w:rPr>
        <w:t>women, children</w:t>
      </w:r>
      <w:r w:rsidR="00242345" w:rsidRPr="00951EB6">
        <w:rPr>
          <w:rFonts w:ascii="Cambria" w:hAnsi="Cambria"/>
          <w:sz w:val="22"/>
          <w:szCs w:val="22"/>
        </w:rPr>
        <w:t xml:space="preserve">, </w:t>
      </w:r>
      <w:r w:rsidR="00BF6386">
        <w:rPr>
          <w:rFonts w:ascii="Cambria" w:hAnsi="Cambria"/>
          <w:sz w:val="22"/>
          <w:szCs w:val="22"/>
        </w:rPr>
        <w:t xml:space="preserve">and </w:t>
      </w:r>
      <w:r w:rsidR="00F335BB" w:rsidRPr="00951EB6">
        <w:rPr>
          <w:rFonts w:ascii="Cambria" w:hAnsi="Cambria"/>
          <w:sz w:val="22"/>
          <w:szCs w:val="22"/>
        </w:rPr>
        <w:t>elderly, disabled and LGBT</w:t>
      </w:r>
      <w:r w:rsidR="00BF6386">
        <w:rPr>
          <w:rFonts w:ascii="Cambria" w:hAnsi="Cambria"/>
          <w:sz w:val="22"/>
          <w:szCs w:val="22"/>
        </w:rPr>
        <w:t>Q</w:t>
      </w:r>
      <w:r w:rsidR="00F335BB" w:rsidRPr="00951EB6">
        <w:rPr>
          <w:rFonts w:ascii="Cambria" w:hAnsi="Cambria"/>
          <w:sz w:val="22"/>
          <w:szCs w:val="22"/>
        </w:rPr>
        <w:t xml:space="preserve"> individuals.</w:t>
      </w:r>
      <w:r w:rsidR="003836C2">
        <w:rPr>
          <w:rFonts w:ascii="Cambria" w:hAnsi="Cambria"/>
          <w:sz w:val="22"/>
          <w:szCs w:val="22"/>
        </w:rPr>
        <w:t xml:space="preserve"> </w:t>
      </w:r>
    </w:p>
    <w:p w14:paraId="420A3899" w14:textId="77777777" w:rsidR="00F335BB" w:rsidRPr="00951EB6" w:rsidRDefault="00F335BB" w:rsidP="00B25484">
      <w:pPr>
        <w:ind w:right="-180"/>
        <w:jc w:val="both"/>
        <w:rPr>
          <w:rFonts w:ascii="Cambria" w:hAnsi="Cambria"/>
          <w:sz w:val="22"/>
          <w:szCs w:val="22"/>
        </w:rPr>
      </w:pPr>
    </w:p>
    <w:p w14:paraId="0AB00373" w14:textId="494E76D4" w:rsidR="000C000C" w:rsidRPr="00951EB6" w:rsidRDefault="00F335BB" w:rsidP="00B25484">
      <w:pPr>
        <w:ind w:right="-180"/>
        <w:jc w:val="both"/>
        <w:rPr>
          <w:rFonts w:ascii="Cambria" w:hAnsi="Cambria"/>
          <w:sz w:val="22"/>
          <w:szCs w:val="22"/>
        </w:rPr>
      </w:pPr>
      <w:r w:rsidRPr="00951EB6">
        <w:rPr>
          <w:rFonts w:ascii="Cambria" w:hAnsi="Cambria"/>
          <w:sz w:val="22"/>
          <w:szCs w:val="22"/>
        </w:rPr>
        <w:t xml:space="preserve">The rights-based approach should serve as the foundation for developing sector-wide accountability standards. A rights-based approach is not only </w:t>
      </w:r>
      <w:hyperlink r:id="rId14" w:history="1">
        <w:r w:rsidRPr="00404DD1">
          <w:rPr>
            <w:rStyle w:val="Hyperlink"/>
            <w:rFonts w:ascii="Cambria" w:hAnsi="Cambria"/>
            <w:color w:val="0070C0"/>
            <w:sz w:val="22"/>
            <w:szCs w:val="22"/>
          </w:rPr>
          <w:t>legally mandated</w:t>
        </w:r>
      </w:hyperlink>
      <w:r w:rsidRPr="00951EB6">
        <w:rPr>
          <w:rFonts w:ascii="Cambria" w:hAnsi="Cambria"/>
          <w:sz w:val="22"/>
          <w:szCs w:val="22"/>
        </w:rPr>
        <w:t xml:space="preserve"> for state and non-state actors; it enables more successful </w:t>
      </w:r>
      <w:r w:rsidR="00242345" w:rsidRPr="00951EB6">
        <w:rPr>
          <w:rFonts w:ascii="Cambria" w:hAnsi="Cambria"/>
          <w:sz w:val="22"/>
          <w:szCs w:val="22"/>
        </w:rPr>
        <w:t>outcomes because it ensures</w:t>
      </w:r>
      <w:r w:rsidRPr="00951EB6">
        <w:rPr>
          <w:rFonts w:ascii="Cambria" w:hAnsi="Cambria"/>
          <w:sz w:val="22"/>
          <w:szCs w:val="22"/>
        </w:rPr>
        <w:t xml:space="preserve"> effectiveness and guides investment toward those actors that can ensure sustainability. Below is a framework for a uniform reporting and accountability mechanism, which reflects the rights-based approach and several best practice guides and codes of conducts adopted by NGOs, IGOs and multi-national corporations.</w:t>
      </w:r>
      <w:r w:rsidRPr="00951EB6">
        <w:rPr>
          <w:rStyle w:val="EndnoteReference"/>
          <w:rFonts w:ascii="Cambria" w:hAnsi="Cambria"/>
          <w:sz w:val="22"/>
          <w:szCs w:val="22"/>
        </w:rPr>
        <w:endnoteReference w:id="1"/>
      </w:r>
      <w:r w:rsidR="0057573E">
        <w:rPr>
          <w:rFonts w:ascii="Cambria" w:hAnsi="Cambria"/>
          <w:sz w:val="22"/>
          <w:szCs w:val="22"/>
        </w:rPr>
        <w:t xml:space="preserve"> </w:t>
      </w:r>
    </w:p>
    <w:p w14:paraId="680C6F54" w14:textId="77777777" w:rsidR="00F335BB" w:rsidRPr="00951EB6" w:rsidRDefault="00F335BB" w:rsidP="00B25484">
      <w:pPr>
        <w:ind w:right="-180"/>
        <w:jc w:val="both"/>
        <w:rPr>
          <w:rFonts w:ascii="Cambria" w:hAnsi="Cambria"/>
          <w:sz w:val="22"/>
          <w:szCs w:val="22"/>
        </w:rPr>
      </w:pPr>
    </w:p>
    <w:p w14:paraId="7B80088F" w14:textId="03C8A031" w:rsidR="00094C98" w:rsidRPr="00951EB6" w:rsidRDefault="00094C98" w:rsidP="00B254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180"/>
        <w:contextualSpacing/>
        <w:jc w:val="both"/>
        <w:rPr>
          <w:rFonts w:ascii="Cambria" w:hAnsi="Cambria"/>
          <w:sz w:val="22"/>
          <w:szCs w:val="22"/>
        </w:rPr>
      </w:pPr>
      <w:r w:rsidRPr="00951EB6">
        <w:rPr>
          <w:rFonts w:ascii="Cambria" w:hAnsi="Cambria"/>
          <w:b/>
          <w:sz w:val="22"/>
          <w:szCs w:val="22"/>
        </w:rPr>
        <w:t>Prohibit Sexual Exploitation and Abuse and Other Illegal Conduct</w:t>
      </w:r>
    </w:p>
    <w:p w14:paraId="08B003D6" w14:textId="20118698" w:rsidR="00094C98" w:rsidRPr="00951EB6" w:rsidRDefault="00C45F05" w:rsidP="00B25484">
      <w:pPr>
        <w:pBdr>
          <w:top w:val="nil"/>
          <w:left w:val="nil"/>
          <w:bottom w:val="nil"/>
          <w:right w:val="nil"/>
          <w:between w:val="nil"/>
        </w:pBdr>
        <w:ind w:right="-18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 i</w:t>
      </w:r>
      <w:r w:rsidR="00C127CC" w:rsidRPr="00951EB6">
        <w:rPr>
          <w:rFonts w:ascii="Cambria" w:hAnsi="Cambria"/>
          <w:sz w:val="22"/>
          <w:szCs w:val="22"/>
        </w:rPr>
        <w:t xml:space="preserve">nternal </w:t>
      </w:r>
      <w:r>
        <w:rPr>
          <w:rFonts w:ascii="Cambria" w:hAnsi="Cambria"/>
          <w:sz w:val="22"/>
          <w:szCs w:val="22"/>
        </w:rPr>
        <w:t xml:space="preserve">code of conduct </w:t>
      </w:r>
      <w:r w:rsidR="00C127CC" w:rsidRPr="00951EB6">
        <w:rPr>
          <w:rFonts w:ascii="Cambria" w:hAnsi="Cambria"/>
          <w:sz w:val="22"/>
          <w:szCs w:val="22"/>
        </w:rPr>
        <w:t xml:space="preserve">must </w:t>
      </w:r>
      <w:r w:rsidR="000C2729">
        <w:rPr>
          <w:rFonts w:ascii="Cambria" w:hAnsi="Cambria"/>
          <w:sz w:val="22"/>
          <w:szCs w:val="22"/>
        </w:rPr>
        <w:t xml:space="preserve">define SEA, establish </w:t>
      </w:r>
      <w:r w:rsidR="00C127CC" w:rsidRPr="00951EB6">
        <w:rPr>
          <w:rFonts w:ascii="Cambria" w:hAnsi="Cambria"/>
          <w:sz w:val="22"/>
          <w:szCs w:val="22"/>
        </w:rPr>
        <w:t xml:space="preserve">clear </w:t>
      </w:r>
      <w:r w:rsidR="000C2729">
        <w:rPr>
          <w:rFonts w:ascii="Cambria" w:hAnsi="Cambria"/>
          <w:sz w:val="22"/>
          <w:szCs w:val="22"/>
        </w:rPr>
        <w:t>penalties for perpetrators of SEA, and commit to reporting</w:t>
      </w:r>
      <w:r w:rsidR="00023E3A" w:rsidRPr="00951EB6">
        <w:rPr>
          <w:rFonts w:ascii="Cambria" w:hAnsi="Cambria"/>
          <w:sz w:val="22"/>
          <w:szCs w:val="22"/>
        </w:rPr>
        <w:t xml:space="preserve"> criminal conduct, especially sexual exploitation of minors, </w:t>
      </w:r>
      <w:r w:rsidR="00C127CC" w:rsidRPr="00951EB6">
        <w:rPr>
          <w:rFonts w:ascii="Cambria" w:hAnsi="Cambria"/>
          <w:sz w:val="22"/>
          <w:szCs w:val="22"/>
        </w:rPr>
        <w:t>to law enforcement</w:t>
      </w:r>
      <w:r w:rsidR="00023E3A" w:rsidRPr="00951EB6">
        <w:rPr>
          <w:rFonts w:ascii="Cambria" w:hAnsi="Cambria"/>
          <w:sz w:val="22"/>
          <w:szCs w:val="22"/>
        </w:rPr>
        <w:t xml:space="preserve"> in the host count</w:t>
      </w:r>
      <w:r w:rsidR="00F40D04">
        <w:rPr>
          <w:rFonts w:ascii="Cambria" w:hAnsi="Cambria"/>
          <w:sz w:val="22"/>
          <w:szCs w:val="22"/>
        </w:rPr>
        <w:t>ry</w:t>
      </w:r>
      <w:r w:rsidR="00023E3A" w:rsidRPr="00951EB6">
        <w:rPr>
          <w:rFonts w:ascii="Cambria" w:hAnsi="Cambria"/>
          <w:sz w:val="22"/>
          <w:szCs w:val="22"/>
        </w:rPr>
        <w:t xml:space="preserve"> </w:t>
      </w:r>
      <w:r w:rsidR="00F40D04">
        <w:rPr>
          <w:rFonts w:ascii="Cambria" w:hAnsi="Cambria"/>
          <w:sz w:val="22"/>
          <w:szCs w:val="22"/>
        </w:rPr>
        <w:t xml:space="preserve">and </w:t>
      </w:r>
      <w:r w:rsidR="00023E3A" w:rsidRPr="00951EB6">
        <w:rPr>
          <w:rFonts w:ascii="Cambria" w:hAnsi="Cambria"/>
          <w:sz w:val="22"/>
          <w:szCs w:val="22"/>
        </w:rPr>
        <w:t xml:space="preserve">other countries that may have jurisdiction </w:t>
      </w:r>
      <w:r w:rsidR="006F62D1">
        <w:rPr>
          <w:rFonts w:ascii="Cambria" w:hAnsi="Cambria"/>
          <w:sz w:val="22"/>
          <w:szCs w:val="22"/>
        </w:rPr>
        <w:t>under</w:t>
      </w:r>
      <w:r w:rsidR="00023E3A" w:rsidRPr="00951EB6">
        <w:rPr>
          <w:rFonts w:ascii="Cambria" w:hAnsi="Cambria"/>
          <w:sz w:val="22"/>
          <w:szCs w:val="22"/>
        </w:rPr>
        <w:t xml:space="preserve"> “sex tourism” statutes</w:t>
      </w:r>
      <w:r w:rsidR="006F62D1">
        <w:rPr>
          <w:rFonts w:ascii="Cambria" w:hAnsi="Cambria"/>
          <w:sz w:val="22"/>
          <w:szCs w:val="22"/>
        </w:rPr>
        <w:t xml:space="preserve"> or on other grounds</w:t>
      </w:r>
      <w:r w:rsidR="00023E3A" w:rsidRPr="00951EB6">
        <w:rPr>
          <w:rFonts w:ascii="Cambria" w:hAnsi="Cambria"/>
          <w:sz w:val="22"/>
          <w:szCs w:val="22"/>
        </w:rPr>
        <w:t>.</w:t>
      </w:r>
      <w:r w:rsidR="00C127CC" w:rsidRPr="00951EB6">
        <w:rPr>
          <w:rFonts w:ascii="Cambria" w:hAnsi="Cambria"/>
          <w:sz w:val="22"/>
          <w:szCs w:val="22"/>
        </w:rPr>
        <w:t xml:space="preserve"> </w:t>
      </w:r>
      <w:r w:rsidR="00094C98" w:rsidRPr="00951EB6">
        <w:rPr>
          <w:rFonts w:ascii="Cambria" w:hAnsi="Cambria"/>
          <w:sz w:val="22"/>
          <w:szCs w:val="22"/>
        </w:rPr>
        <w:t xml:space="preserve">These standards </w:t>
      </w:r>
      <w:r w:rsidR="008C2318" w:rsidRPr="00951EB6">
        <w:rPr>
          <w:rFonts w:ascii="Cambria" w:hAnsi="Cambria"/>
          <w:sz w:val="22"/>
          <w:szCs w:val="22"/>
        </w:rPr>
        <w:t>should</w:t>
      </w:r>
      <w:r w:rsidR="00094C98" w:rsidRPr="00951EB6">
        <w:rPr>
          <w:rFonts w:ascii="Cambria" w:hAnsi="Cambria"/>
          <w:sz w:val="22"/>
          <w:szCs w:val="22"/>
        </w:rPr>
        <w:t xml:space="preserve"> conform to the laws of the host country, but additional restraints may be necessary to protect aid beneficiaries. For example, staff members </w:t>
      </w:r>
      <w:r w:rsidR="00BF6386">
        <w:rPr>
          <w:rFonts w:ascii="Cambria" w:hAnsi="Cambria"/>
          <w:sz w:val="22"/>
          <w:szCs w:val="22"/>
        </w:rPr>
        <w:t xml:space="preserve">should be prohibited from </w:t>
      </w:r>
      <w:r w:rsidR="00094C98" w:rsidRPr="00951EB6">
        <w:rPr>
          <w:rFonts w:ascii="Cambria" w:hAnsi="Cambria"/>
          <w:sz w:val="22"/>
          <w:szCs w:val="22"/>
        </w:rPr>
        <w:t>engag</w:t>
      </w:r>
      <w:r w:rsidR="00BF6386">
        <w:rPr>
          <w:rFonts w:ascii="Cambria" w:hAnsi="Cambria"/>
          <w:sz w:val="22"/>
          <w:szCs w:val="22"/>
        </w:rPr>
        <w:t>ing</w:t>
      </w:r>
      <w:r w:rsidR="00094C98" w:rsidRPr="00951EB6">
        <w:rPr>
          <w:rFonts w:ascii="Cambria" w:hAnsi="Cambria"/>
          <w:sz w:val="22"/>
          <w:szCs w:val="22"/>
        </w:rPr>
        <w:t xml:space="preserve"> in prostitution with an aid </w:t>
      </w:r>
      <w:r w:rsidR="00F40D04">
        <w:rPr>
          <w:rFonts w:ascii="Cambria" w:hAnsi="Cambria"/>
          <w:sz w:val="22"/>
          <w:szCs w:val="22"/>
        </w:rPr>
        <w:t>recipient even if prostitution is</w:t>
      </w:r>
      <w:r w:rsidR="00D42A2F" w:rsidRPr="00951EB6">
        <w:rPr>
          <w:rFonts w:ascii="Cambria" w:hAnsi="Cambria"/>
          <w:sz w:val="22"/>
          <w:szCs w:val="22"/>
        </w:rPr>
        <w:t xml:space="preserve"> legal in the host country. </w:t>
      </w:r>
      <w:r w:rsidR="00094C98" w:rsidRPr="00951EB6">
        <w:rPr>
          <w:rFonts w:ascii="Cambria" w:hAnsi="Cambria"/>
          <w:sz w:val="22"/>
          <w:szCs w:val="22"/>
        </w:rPr>
        <w:t xml:space="preserve">Similarly, the </w:t>
      </w:r>
      <w:r w:rsidR="00462BB6">
        <w:rPr>
          <w:rFonts w:ascii="Cambria" w:hAnsi="Cambria"/>
          <w:sz w:val="22"/>
          <w:szCs w:val="22"/>
        </w:rPr>
        <w:t xml:space="preserve">aid </w:t>
      </w:r>
      <w:r w:rsidR="00FA3359">
        <w:rPr>
          <w:rFonts w:ascii="Cambria" w:hAnsi="Cambria"/>
          <w:sz w:val="22"/>
          <w:szCs w:val="22"/>
        </w:rPr>
        <w:t>organization</w:t>
      </w:r>
      <w:r w:rsidR="00094C98" w:rsidRPr="00951EB6">
        <w:rPr>
          <w:rFonts w:ascii="Cambria" w:hAnsi="Cambria"/>
          <w:sz w:val="22"/>
          <w:szCs w:val="22"/>
        </w:rPr>
        <w:t xml:space="preserve"> </w:t>
      </w:r>
      <w:r w:rsidR="00C127CC" w:rsidRPr="00951EB6">
        <w:rPr>
          <w:rFonts w:ascii="Cambria" w:hAnsi="Cambria"/>
          <w:sz w:val="22"/>
          <w:szCs w:val="22"/>
        </w:rPr>
        <w:t>sh</w:t>
      </w:r>
      <w:r w:rsidR="00094C98" w:rsidRPr="00951EB6">
        <w:rPr>
          <w:rFonts w:ascii="Cambria" w:hAnsi="Cambria"/>
          <w:sz w:val="22"/>
          <w:szCs w:val="22"/>
        </w:rPr>
        <w:t>ould prohibit discrimination against LGBTQ individuals,</w:t>
      </w:r>
      <w:r w:rsidR="00F40D04">
        <w:rPr>
          <w:rFonts w:ascii="Cambria" w:hAnsi="Cambria"/>
          <w:sz w:val="22"/>
          <w:szCs w:val="22"/>
        </w:rPr>
        <w:t xml:space="preserve"> even absent a</w:t>
      </w:r>
      <w:r w:rsidR="00094C98" w:rsidRPr="00951EB6">
        <w:rPr>
          <w:rFonts w:ascii="Cambria" w:hAnsi="Cambria"/>
          <w:sz w:val="22"/>
          <w:szCs w:val="22"/>
        </w:rPr>
        <w:t xml:space="preserve"> lack of protection under the host country’s laws.</w:t>
      </w:r>
      <w:r w:rsidR="00D20D89">
        <w:rPr>
          <w:rFonts w:ascii="Cambria" w:hAnsi="Cambria"/>
          <w:sz w:val="22"/>
          <w:szCs w:val="22"/>
        </w:rPr>
        <w:t xml:space="preserve"> </w:t>
      </w:r>
      <w:r w:rsidR="00462BB6">
        <w:rPr>
          <w:rFonts w:ascii="Cambria" w:hAnsi="Cambria"/>
          <w:sz w:val="22"/>
          <w:szCs w:val="22"/>
        </w:rPr>
        <w:t>Organizations</w:t>
      </w:r>
      <w:r w:rsidR="00B56CA3">
        <w:rPr>
          <w:rFonts w:ascii="Cambria" w:hAnsi="Cambria"/>
          <w:sz w:val="22"/>
          <w:szCs w:val="22"/>
        </w:rPr>
        <w:t xml:space="preserve"> must ensure that </w:t>
      </w:r>
      <w:r w:rsidR="00366A80">
        <w:rPr>
          <w:rFonts w:ascii="Cambria" w:hAnsi="Cambria"/>
          <w:sz w:val="22"/>
          <w:szCs w:val="22"/>
        </w:rPr>
        <w:t>their</w:t>
      </w:r>
      <w:r w:rsidR="004C41BE" w:rsidRPr="00951EB6">
        <w:rPr>
          <w:rFonts w:ascii="Cambria" w:hAnsi="Cambria"/>
          <w:sz w:val="22"/>
          <w:szCs w:val="22"/>
        </w:rPr>
        <w:t xml:space="preserve"> </w:t>
      </w:r>
      <w:r w:rsidR="00B56CA3">
        <w:rPr>
          <w:rFonts w:ascii="Cambria" w:hAnsi="Cambria"/>
          <w:sz w:val="22"/>
          <w:szCs w:val="22"/>
        </w:rPr>
        <w:t>subcontractors</w:t>
      </w:r>
      <w:r w:rsidR="000D7916">
        <w:rPr>
          <w:rFonts w:ascii="Cambria" w:hAnsi="Cambria"/>
          <w:sz w:val="22"/>
          <w:szCs w:val="22"/>
        </w:rPr>
        <w:t xml:space="preserve"> also</w:t>
      </w:r>
      <w:r w:rsidR="00B56CA3">
        <w:rPr>
          <w:rFonts w:ascii="Cambria" w:hAnsi="Cambria"/>
          <w:sz w:val="22"/>
          <w:szCs w:val="22"/>
        </w:rPr>
        <w:t xml:space="preserve"> </w:t>
      </w:r>
      <w:r w:rsidR="004C41BE" w:rsidRPr="00951EB6">
        <w:rPr>
          <w:rFonts w:ascii="Cambria" w:hAnsi="Cambria"/>
          <w:sz w:val="22"/>
          <w:szCs w:val="22"/>
        </w:rPr>
        <w:t>effectively communicate, mon</w:t>
      </w:r>
      <w:r w:rsidR="004C41BE">
        <w:rPr>
          <w:rFonts w:ascii="Cambria" w:hAnsi="Cambria"/>
          <w:sz w:val="22"/>
          <w:szCs w:val="22"/>
        </w:rPr>
        <w:t>itor and enforce the code of conduct</w:t>
      </w:r>
      <w:r w:rsidR="004C41BE" w:rsidRPr="00951EB6">
        <w:rPr>
          <w:rFonts w:ascii="Cambria" w:hAnsi="Cambria"/>
          <w:sz w:val="22"/>
          <w:szCs w:val="22"/>
        </w:rPr>
        <w:t>.</w:t>
      </w:r>
      <w:r w:rsidR="0057573E">
        <w:rPr>
          <w:rFonts w:ascii="Cambria" w:hAnsi="Cambria"/>
          <w:sz w:val="22"/>
          <w:szCs w:val="22"/>
        </w:rPr>
        <w:t xml:space="preserve"> </w:t>
      </w:r>
    </w:p>
    <w:p w14:paraId="2949D3DE" w14:textId="77777777" w:rsidR="00094C98" w:rsidRPr="00951EB6" w:rsidRDefault="00094C98" w:rsidP="00B25484">
      <w:pPr>
        <w:pBdr>
          <w:top w:val="nil"/>
          <w:left w:val="nil"/>
          <w:bottom w:val="nil"/>
          <w:right w:val="nil"/>
          <w:between w:val="nil"/>
        </w:pBdr>
        <w:ind w:right="-180"/>
        <w:contextualSpacing/>
        <w:jc w:val="both"/>
        <w:rPr>
          <w:rFonts w:ascii="Cambria" w:hAnsi="Cambria"/>
          <w:sz w:val="22"/>
          <w:szCs w:val="22"/>
        </w:rPr>
      </w:pPr>
    </w:p>
    <w:p w14:paraId="4017CEBE" w14:textId="249D409F" w:rsidR="00F335BB" w:rsidRPr="00951EB6" w:rsidRDefault="00F335BB" w:rsidP="00B254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180"/>
        <w:contextualSpacing/>
        <w:jc w:val="both"/>
        <w:rPr>
          <w:rFonts w:ascii="Cambria" w:hAnsi="Cambria"/>
          <w:sz w:val="22"/>
          <w:szCs w:val="22"/>
        </w:rPr>
      </w:pPr>
      <w:r w:rsidRPr="00951EB6">
        <w:rPr>
          <w:rFonts w:ascii="Cambria" w:hAnsi="Cambria"/>
          <w:b/>
          <w:sz w:val="22"/>
          <w:szCs w:val="22"/>
        </w:rPr>
        <w:t xml:space="preserve">Effective </w:t>
      </w:r>
      <w:r w:rsidR="0093716A" w:rsidRPr="00951EB6">
        <w:rPr>
          <w:rFonts w:ascii="Cambria" w:hAnsi="Cambria"/>
          <w:b/>
          <w:sz w:val="22"/>
          <w:szCs w:val="22"/>
        </w:rPr>
        <w:t xml:space="preserve">Complaint </w:t>
      </w:r>
      <w:r w:rsidRPr="00951EB6">
        <w:rPr>
          <w:rFonts w:ascii="Cambria" w:hAnsi="Cambria"/>
          <w:b/>
          <w:sz w:val="22"/>
          <w:szCs w:val="22"/>
        </w:rPr>
        <w:t xml:space="preserve">Mechanism </w:t>
      </w:r>
    </w:p>
    <w:p w14:paraId="31167ED1" w14:textId="577C1F70" w:rsidR="00F335BB" w:rsidRPr="00951EB6" w:rsidRDefault="00BF6386" w:rsidP="00B25484">
      <w:pPr>
        <w:ind w:righ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 i</w:t>
      </w:r>
      <w:r w:rsidR="00D20D89" w:rsidRPr="00951EB6">
        <w:rPr>
          <w:rFonts w:ascii="Cambria" w:hAnsi="Cambria"/>
          <w:sz w:val="22"/>
          <w:szCs w:val="22"/>
        </w:rPr>
        <w:t>ndependent and transparent complaint m</w:t>
      </w:r>
      <w:r>
        <w:rPr>
          <w:rFonts w:ascii="Cambria" w:hAnsi="Cambria"/>
          <w:sz w:val="22"/>
          <w:szCs w:val="22"/>
        </w:rPr>
        <w:t>echanism is</w:t>
      </w:r>
      <w:r w:rsidR="00D20D89" w:rsidRPr="00951EB6">
        <w:rPr>
          <w:rFonts w:ascii="Cambria" w:hAnsi="Cambria"/>
          <w:sz w:val="22"/>
          <w:szCs w:val="22"/>
        </w:rPr>
        <w:t xml:space="preserve"> the foundation of a rights-based approach</w:t>
      </w:r>
      <w:r>
        <w:rPr>
          <w:rFonts w:ascii="Cambria" w:hAnsi="Cambria"/>
          <w:sz w:val="22"/>
          <w:szCs w:val="22"/>
        </w:rPr>
        <w:t xml:space="preserve">. </w:t>
      </w:r>
      <w:r w:rsidR="00D20D89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It is</w:t>
      </w:r>
      <w:r w:rsidR="00D20D89">
        <w:rPr>
          <w:rFonts w:ascii="Cambria" w:hAnsi="Cambria"/>
          <w:sz w:val="22"/>
          <w:szCs w:val="22"/>
        </w:rPr>
        <w:t xml:space="preserve"> critical to creating </w:t>
      </w:r>
      <w:r>
        <w:rPr>
          <w:rFonts w:ascii="Cambria" w:hAnsi="Cambria"/>
          <w:sz w:val="22"/>
          <w:szCs w:val="22"/>
        </w:rPr>
        <w:t xml:space="preserve">and maintaining </w:t>
      </w:r>
      <w:r w:rsidR="00D20D89">
        <w:rPr>
          <w:rFonts w:ascii="Cambria" w:hAnsi="Cambria"/>
          <w:sz w:val="22"/>
          <w:szCs w:val="22"/>
        </w:rPr>
        <w:t>an environment that prevents SEA and other misconduct</w:t>
      </w:r>
      <w:r w:rsidR="00D20D89" w:rsidRPr="00951EB6">
        <w:rPr>
          <w:rFonts w:ascii="Cambria" w:hAnsi="Cambria"/>
          <w:sz w:val="22"/>
          <w:szCs w:val="22"/>
        </w:rPr>
        <w:t>.</w:t>
      </w:r>
      <w:r w:rsidR="00D20D89">
        <w:rPr>
          <w:rFonts w:ascii="Cambria" w:hAnsi="Cambria"/>
          <w:sz w:val="22"/>
          <w:szCs w:val="22"/>
        </w:rPr>
        <w:t xml:space="preserve"> </w:t>
      </w:r>
      <w:r w:rsidR="00937427">
        <w:rPr>
          <w:rFonts w:ascii="Cambria" w:hAnsi="Cambria"/>
          <w:sz w:val="22"/>
          <w:szCs w:val="22"/>
        </w:rPr>
        <w:t>Staff should receive training and sign employment contracts outl</w:t>
      </w:r>
      <w:r w:rsidR="00C12A78">
        <w:rPr>
          <w:rFonts w:ascii="Cambria" w:hAnsi="Cambria"/>
          <w:sz w:val="22"/>
          <w:szCs w:val="22"/>
        </w:rPr>
        <w:t>ining the organization’s code</w:t>
      </w:r>
      <w:r w:rsidR="00937427">
        <w:rPr>
          <w:rFonts w:ascii="Cambria" w:hAnsi="Cambria"/>
          <w:sz w:val="22"/>
          <w:szCs w:val="22"/>
        </w:rPr>
        <w:t xml:space="preserve"> of conduct and grievance mechanism. </w:t>
      </w:r>
      <w:r w:rsidR="00D20D89">
        <w:rPr>
          <w:rFonts w:ascii="Cambria" w:hAnsi="Cambria"/>
          <w:sz w:val="22"/>
          <w:szCs w:val="22"/>
        </w:rPr>
        <w:t>The grievance mechanism should contain the following stages</w:t>
      </w:r>
      <w:r w:rsidR="00F335BB" w:rsidRPr="00951EB6">
        <w:rPr>
          <w:rFonts w:ascii="Cambria" w:hAnsi="Cambria"/>
          <w:sz w:val="22"/>
          <w:szCs w:val="22"/>
        </w:rPr>
        <w:t>:</w:t>
      </w:r>
    </w:p>
    <w:p w14:paraId="470BEC12" w14:textId="77777777" w:rsidR="00F335BB" w:rsidRPr="00951EB6" w:rsidRDefault="00F335BB" w:rsidP="00B25484">
      <w:pPr>
        <w:ind w:right="-180"/>
        <w:jc w:val="both"/>
        <w:rPr>
          <w:rFonts w:ascii="Cambria" w:hAnsi="Cambria"/>
          <w:sz w:val="22"/>
          <w:szCs w:val="22"/>
        </w:rPr>
      </w:pPr>
    </w:p>
    <w:p w14:paraId="2F6C5335" w14:textId="77777777" w:rsidR="00F335BB" w:rsidRPr="00951EB6" w:rsidRDefault="00F335BB" w:rsidP="00B254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180"/>
        <w:contextualSpacing/>
        <w:jc w:val="both"/>
        <w:rPr>
          <w:rFonts w:ascii="Cambria" w:hAnsi="Cambria"/>
          <w:b/>
          <w:sz w:val="22"/>
          <w:szCs w:val="22"/>
        </w:rPr>
      </w:pPr>
      <w:r w:rsidRPr="00951EB6">
        <w:rPr>
          <w:rFonts w:ascii="Cambria" w:hAnsi="Cambria"/>
          <w:b/>
          <w:sz w:val="22"/>
          <w:szCs w:val="22"/>
        </w:rPr>
        <w:t>Transparent, accessible and secure reporting</w:t>
      </w:r>
    </w:p>
    <w:p w14:paraId="01279E63" w14:textId="012B8766" w:rsidR="005E6DFB" w:rsidRPr="00A15870" w:rsidRDefault="0069642A" w:rsidP="00B25484">
      <w:pPr>
        <w:ind w:right="-180"/>
        <w:jc w:val="both"/>
        <w:rPr>
          <w:rFonts w:ascii="Cambria" w:eastAsia="Times New Roman" w:hAnsi="Cambria"/>
          <w:sz w:val="22"/>
          <w:szCs w:val="22"/>
        </w:rPr>
      </w:pPr>
      <w:r w:rsidRPr="00951EB6">
        <w:rPr>
          <w:rFonts w:ascii="Cambria" w:hAnsi="Cambria"/>
          <w:b/>
          <w:sz w:val="22"/>
          <w:szCs w:val="22"/>
        </w:rPr>
        <w:t>Secure and confidential</w:t>
      </w:r>
      <w:r w:rsidR="00183109" w:rsidRPr="00951EB6">
        <w:rPr>
          <w:rFonts w:ascii="Cambria" w:hAnsi="Cambria"/>
          <w:sz w:val="22"/>
          <w:szCs w:val="22"/>
        </w:rPr>
        <w:t xml:space="preserve">. </w:t>
      </w:r>
      <w:r w:rsidR="00C45F05">
        <w:rPr>
          <w:rFonts w:ascii="Cambria" w:hAnsi="Cambria"/>
          <w:sz w:val="22"/>
          <w:szCs w:val="22"/>
        </w:rPr>
        <w:t>Establish a</w:t>
      </w:r>
      <w:r w:rsidR="005E6DFB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single, comprehensive </w:t>
      </w:r>
      <w:r w:rsidR="00C45F05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g</w:t>
      </w:r>
      <w:r w:rsidR="005E6DFB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rievance </w:t>
      </w:r>
      <w:r w:rsidR="00C45F05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m</w:t>
      </w:r>
      <w:r w:rsidR="009348CD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echanism that will address</w:t>
      </w:r>
      <w:r w:rsidR="005E6DFB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SEA</w:t>
      </w:r>
      <w:r w:rsidR="0005606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and non-SEA violations.</w:t>
      </w:r>
      <w:r w:rsidR="00FF626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</w:t>
      </w:r>
      <w:r w:rsidR="00C65264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While SEA is egregious and has recently received attention, </w:t>
      </w:r>
      <w:r w:rsidR="00D977B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accountability is also necessary for o</w:t>
      </w:r>
      <w:r w:rsidR="00C65264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ther types of </w:t>
      </w:r>
      <w:r w:rsidR="00D977B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commonly reported violations, </w:t>
      </w:r>
      <w:r w:rsidR="00C65264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such as discrimination </w:t>
      </w:r>
      <w:r w:rsidR="00D977B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and failures in aid delivery</w:t>
      </w:r>
      <w:r w:rsidR="00C65264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. </w:t>
      </w:r>
      <w:r w:rsidR="00C45F05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Provide a</w:t>
      </w:r>
      <w:r w:rsidR="005E6DFB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variety of reporting methods, including face-to-face intake, a physical and secure drop-box, telephone hotlines, internet links, and other means that promote access</w:t>
      </w:r>
      <w:r w:rsidR="0005606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, in the local languages</w:t>
      </w:r>
      <w:r w:rsidR="006D4F04" w:rsidRPr="00951EB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. </w:t>
      </w:r>
      <w:r w:rsidR="00BD5DC8">
        <w:rPr>
          <w:rFonts w:ascii="Cambria" w:hAnsi="Cambria"/>
          <w:sz w:val="22"/>
          <w:szCs w:val="22"/>
        </w:rPr>
        <w:t xml:space="preserve">Advertise and actively promote the mechanisms in a manner that is </w:t>
      </w:r>
      <w:r w:rsidR="00BD5DC8" w:rsidRPr="00951EB6">
        <w:rPr>
          <w:rFonts w:ascii="Cambria" w:hAnsi="Cambria"/>
          <w:sz w:val="22"/>
          <w:szCs w:val="22"/>
        </w:rPr>
        <w:t xml:space="preserve">culturally appropriate </w:t>
      </w:r>
      <w:r w:rsidR="00BD5DC8">
        <w:rPr>
          <w:rFonts w:ascii="Cambria" w:hAnsi="Cambria"/>
          <w:sz w:val="22"/>
          <w:szCs w:val="22"/>
        </w:rPr>
        <w:t xml:space="preserve">and targeted </w:t>
      </w:r>
      <w:r w:rsidR="00BD5DC8" w:rsidRPr="00951EB6">
        <w:rPr>
          <w:rFonts w:ascii="Cambria" w:hAnsi="Cambria"/>
          <w:sz w:val="22"/>
          <w:szCs w:val="22"/>
        </w:rPr>
        <w:t xml:space="preserve">to reach </w:t>
      </w:r>
      <w:r w:rsidR="00B445F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likely complainants. </w:t>
      </w:r>
      <w:r w:rsidR="00161D54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Every effort should be made to m</w:t>
      </w:r>
      <w:r w:rsidR="005E6DFB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aintain confidentiality </w:t>
      </w:r>
      <w:r w:rsidR="00B445F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to the extent possible, but the</w:t>
      </w:r>
      <w:r w:rsidR="005E6DFB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general risk of disclosure shoul</w:t>
      </w:r>
      <w:r w:rsidR="00C45F05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d be made known to complainants</w:t>
      </w:r>
      <w:r w:rsidR="006D4F04" w:rsidRPr="00951EB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. </w:t>
      </w:r>
      <w:r w:rsidR="009162F1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Staff members who suspect miscon</w:t>
      </w:r>
      <w:r w:rsidR="0005606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duct by a fellow worker should be required to</w:t>
      </w:r>
      <w:r w:rsidR="009162F1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report such concerns through the reporting mechanism.</w:t>
      </w:r>
      <w:r w:rsidR="00CA2D02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</w:t>
      </w:r>
      <w:r w:rsidR="00EE3C0F" w:rsidRPr="00EE3C0F">
        <w:rPr>
          <w:rFonts w:ascii="Cambria" w:hAnsi="Cambria"/>
          <w:sz w:val="22"/>
          <w:szCs w:val="22"/>
        </w:rPr>
        <w:t>Adequate and confidential whistle-blowing structures mu</w:t>
      </w:r>
      <w:r w:rsidR="00EE3C0F">
        <w:rPr>
          <w:rFonts w:ascii="Cambria" w:hAnsi="Cambria"/>
          <w:sz w:val="22"/>
          <w:szCs w:val="22"/>
        </w:rPr>
        <w:t>st also be implemented to encourage complaints</w:t>
      </w:r>
      <w:r w:rsidR="00EE3C0F" w:rsidRPr="00EE3C0F">
        <w:rPr>
          <w:rFonts w:ascii="Cambria" w:hAnsi="Cambria"/>
          <w:sz w:val="22"/>
          <w:szCs w:val="22"/>
        </w:rPr>
        <w:t>.</w:t>
      </w:r>
    </w:p>
    <w:p w14:paraId="26C04B49" w14:textId="77777777" w:rsidR="00D2787F" w:rsidRPr="00951EB6" w:rsidRDefault="00D2787F" w:rsidP="00B25484">
      <w:pPr>
        <w:ind w:right="-180"/>
        <w:jc w:val="both"/>
        <w:rPr>
          <w:rFonts w:ascii="Cambria" w:hAnsi="Cambria"/>
          <w:sz w:val="22"/>
          <w:szCs w:val="22"/>
        </w:rPr>
      </w:pPr>
    </w:p>
    <w:p w14:paraId="08A09351" w14:textId="64DF61FB" w:rsidR="00C169C9" w:rsidRDefault="00183109" w:rsidP="00B25484">
      <w:pPr>
        <w:ind w:right="-180"/>
        <w:jc w:val="both"/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</w:pPr>
      <w:r w:rsidRPr="00951EB6">
        <w:rPr>
          <w:rFonts w:ascii="Cambria" w:hAnsi="Cambria"/>
          <w:b/>
          <w:sz w:val="22"/>
          <w:szCs w:val="22"/>
        </w:rPr>
        <w:t>Local Community Involvement</w:t>
      </w:r>
      <w:r w:rsidRPr="00951EB6">
        <w:rPr>
          <w:rFonts w:ascii="Cambria" w:hAnsi="Cambria"/>
          <w:sz w:val="22"/>
          <w:szCs w:val="22"/>
        </w:rPr>
        <w:t xml:space="preserve">. </w:t>
      </w:r>
      <w:r w:rsidR="0091573E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Draft the</w:t>
      </w:r>
      <w:r w:rsidR="0091573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</w:t>
      </w:r>
      <w:r w:rsidR="00FA3359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organization</w:t>
      </w:r>
      <w:r w:rsidR="0091573E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’s </w:t>
      </w:r>
      <w:r w:rsidR="0091573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code of conduct and g</w:t>
      </w:r>
      <w:r w:rsidR="0091573E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rievance </w:t>
      </w:r>
      <w:r w:rsidR="0091573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m</w:t>
      </w:r>
      <w:r w:rsidR="0091573E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echanism with input from</w:t>
      </w:r>
      <w:r w:rsidR="0091573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local communities</w:t>
      </w:r>
      <w:r w:rsidR="0091573E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.</w:t>
      </w:r>
      <w:r w:rsidR="00B77CD9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</w:t>
      </w:r>
      <w:r w:rsidR="0091573E" w:rsidRPr="00951EB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E</w:t>
      </w:r>
      <w:r w:rsidR="0091573E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stablish feedback mechanisms </w:t>
      </w:r>
      <w:r w:rsidR="0091573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for suggestions on improvement</w:t>
      </w:r>
      <w:r w:rsidR="0091573E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.</w:t>
      </w:r>
      <w:r w:rsidR="0091573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</w:t>
      </w:r>
      <w:r w:rsidR="0091573E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Collaborate with other aid </w:t>
      </w:r>
      <w:r w:rsidR="00F642AD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agencies</w:t>
      </w:r>
      <w:r w:rsidR="0091573E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and experts in the </w:t>
      </w:r>
      <w:r w:rsidR="0091573E" w:rsidRPr="00951EB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host country</w:t>
      </w:r>
      <w:r w:rsidR="0091573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on best practices</w:t>
      </w:r>
      <w:r w:rsidR="0091573E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.</w:t>
      </w:r>
      <w:r w:rsidR="0091573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</w:t>
      </w:r>
      <w:r w:rsidR="0009151B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C</w:t>
      </w:r>
      <w:r w:rsidR="00B77CD9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onsider </w:t>
      </w:r>
      <w:r w:rsidR="0009151B">
        <w:rPr>
          <w:rFonts w:ascii="Cambria" w:eastAsia="Times New Roman" w:hAnsi="Cambria"/>
          <w:sz w:val="22"/>
          <w:szCs w:val="22"/>
        </w:rPr>
        <w:t xml:space="preserve">a </w:t>
      </w:r>
      <w:r w:rsidR="009B1E48">
        <w:rPr>
          <w:rFonts w:ascii="Cambria" w:eastAsia="Times New Roman" w:hAnsi="Cambria"/>
          <w:sz w:val="22"/>
          <w:szCs w:val="22"/>
        </w:rPr>
        <w:t xml:space="preserve">community-based reporting structure with </w:t>
      </w:r>
      <w:r w:rsidR="0091573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an inclusive network of local organizations </w:t>
      </w:r>
      <w:r w:rsidR="00B77CD9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that can refer complaints to the </w:t>
      </w:r>
      <w:r w:rsidR="00FA3359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organization</w:t>
      </w:r>
      <w:r w:rsidR="00473104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</w:t>
      </w:r>
      <w:r w:rsidR="00F7108B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involved</w:t>
      </w:r>
      <w:r w:rsidR="00473104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in the grievance </w:t>
      </w:r>
      <w:r w:rsidR="00B77CD9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for follow up</w:t>
      </w:r>
      <w:r w:rsidR="0009151B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. </w:t>
      </w:r>
      <w:r w:rsidR="0009151B">
        <w:rPr>
          <w:rFonts w:ascii="Cambria" w:eastAsia="Times New Roman" w:hAnsi="Cambria"/>
          <w:sz w:val="22"/>
          <w:szCs w:val="22"/>
        </w:rPr>
        <w:t>Also consider s</w:t>
      </w:r>
      <w:r w:rsidR="00C169C9" w:rsidRPr="00951EB6">
        <w:rPr>
          <w:rFonts w:ascii="Cambria" w:hAnsi="Cambria"/>
          <w:sz w:val="22"/>
          <w:szCs w:val="22"/>
        </w:rPr>
        <w:t>upport</w:t>
      </w:r>
      <w:r w:rsidR="0009151B">
        <w:rPr>
          <w:rFonts w:ascii="Cambria" w:hAnsi="Cambria"/>
          <w:sz w:val="22"/>
          <w:szCs w:val="22"/>
        </w:rPr>
        <w:t>ing</w:t>
      </w:r>
      <w:r w:rsidR="00C169C9" w:rsidRPr="00951EB6">
        <w:rPr>
          <w:rFonts w:ascii="Cambria" w:hAnsi="Cambria"/>
          <w:sz w:val="22"/>
          <w:szCs w:val="22"/>
        </w:rPr>
        <w:t xml:space="preserve"> local </w:t>
      </w:r>
      <w:r w:rsidR="00D42A2F" w:rsidRPr="00951EB6">
        <w:rPr>
          <w:rFonts w:ascii="Cambria" w:hAnsi="Cambria"/>
          <w:sz w:val="22"/>
          <w:szCs w:val="22"/>
        </w:rPr>
        <w:t xml:space="preserve">organizations </w:t>
      </w:r>
      <w:r w:rsidR="003C6539" w:rsidRPr="00951EB6">
        <w:rPr>
          <w:rFonts w:ascii="Cambria" w:hAnsi="Cambria"/>
          <w:sz w:val="22"/>
          <w:szCs w:val="22"/>
        </w:rPr>
        <w:t>to rece</w:t>
      </w:r>
      <w:r w:rsidR="0005606E">
        <w:rPr>
          <w:rFonts w:ascii="Cambria" w:hAnsi="Cambria"/>
          <w:sz w:val="22"/>
          <w:szCs w:val="22"/>
        </w:rPr>
        <w:t xml:space="preserve">ive and investigate complaints where the complainant fears the consequences of filing a complaint with the </w:t>
      </w:r>
      <w:r w:rsidR="00FA3359">
        <w:rPr>
          <w:rFonts w:ascii="Cambria" w:hAnsi="Cambria"/>
          <w:sz w:val="22"/>
          <w:szCs w:val="22"/>
        </w:rPr>
        <w:t>organization</w:t>
      </w:r>
      <w:r w:rsidR="0005606E">
        <w:rPr>
          <w:rFonts w:ascii="Cambria" w:hAnsi="Cambria"/>
          <w:sz w:val="22"/>
          <w:szCs w:val="22"/>
        </w:rPr>
        <w:t>.</w:t>
      </w:r>
      <w:r w:rsidR="00C169C9" w:rsidRPr="00951EB6">
        <w:rPr>
          <w:rFonts w:ascii="Cambria" w:hAnsi="Cambria"/>
          <w:sz w:val="22"/>
          <w:szCs w:val="22"/>
        </w:rPr>
        <w:t xml:space="preserve"> </w:t>
      </w:r>
      <w:r w:rsidR="0005606E">
        <w:rPr>
          <w:rFonts w:ascii="Cambria" w:hAnsi="Cambria"/>
          <w:sz w:val="22"/>
          <w:szCs w:val="22"/>
        </w:rPr>
        <w:t xml:space="preserve">The local organizations could also be supported to </w:t>
      </w:r>
      <w:r w:rsidR="00C169C9" w:rsidRPr="00951EB6">
        <w:rPr>
          <w:rFonts w:ascii="Cambria" w:hAnsi="Cambria"/>
          <w:sz w:val="22"/>
          <w:szCs w:val="22"/>
        </w:rPr>
        <w:t xml:space="preserve">issue </w:t>
      </w:r>
      <w:r w:rsidR="003C6539" w:rsidRPr="00951EB6">
        <w:rPr>
          <w:rFonts w:ascii="Cambria" w:hAnsi="Cambria"/>
          <w:sz w:val="22"/>
          <w:szCs w:val="22"/>
        </w:rPr>
        <w:t>periodic</w:t>
      </w:r>
      <w:r w:rsidR="006F6A6D" w:rsidRPr="00951EB6">
        <w:rPr>
          <w:rFonts w:ascii="Cambria" w:hAnsi="Cambria"/>
          <w:sz w:val="22"/>
          <w:szCs w:val="22"/>
        </w:rPr>
        <w:t xml:space="preserve"> report</w:t>
      </w:r>
      <w:r w:rsidR="0091573E">
        <w:rPr>
          <w:rFonts w:ascii="Cambria" w:hAnsi="Cambria"/>
          <w:sz w:val="22"/>
          <w:szCs w:val="22"/>
        </w:rPr>
        <w:t>s</w:t>
      </w:r>
      <w:r w:rsidR="006F6A6D" w:rsidRPr="00951EB6">
        <w:rPr>
          <w:rFonts w:ascii="Cambria" w:hAnsi="Cambria"/>
          <w:sz w:val="22"/>
          <w:szCs w:val="22"/>
        </w:rPr>
        <w:t xml:space="preserve"> </w:t>
      </w:r>
      <w:r w:rsidR="0005606E">
        <w:rPr>
          <w:rFonts w:ascii="Cambria" w:hAnsi="Cambria"/>
          <w:sz w:val="22"/>
          <w:szCs w:val="22"/>
        </w:rPr>
        <w:t>on the humanitarian sectors’ progress in establishing accountability.</w:t>
      </w:r>
      <w:r w:rsidR="0091573E" w:rsidRPr="0091573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6EB335B6" w14:textId="77777777" w:rsidR="00017511" w:rsidRDefault="00017511" w:rsidP="00B25484">
      <w:pPr>
        <w:ind w:right="-180"/>
        <w:jc w:val="both"/>
        <w:rPr>
          <w:rFonts w:ascii="Cambria" w:hAnsi="Cambria"/>
          <w:b/>
          <w:sz w:val="22"/>
          <w:szCs w:val="22"/>
        </w:rPr>
      </w:pPr>
    </w:p>
    <w:p w14:paraId="69BA1ADB" w14:textId="77777777" w:rsidR="0087253F" w:rsidRDefault="0087253F" w:rsidP="00B25484">
      <w:pPr>
        <w:ind w:right="-180"/>
        <w:jc w:val="both"/>
        <w:rPr>
          <w:rFonts w:ascii="Cambria" w:hAnsi="Cambria"/>
          <w:b/>
          <w:sz w:val="22"/>
          <w:szCs w:val="22"/>
        </w:rPr>
      </w:pPr>
    </w:p>
    <w:p w14:paraId="4DDD5CFB" w14:textId="77777777" w:rsidR="00F335BB" w:rsidRPr="00951EB6" w:rsidRDefault="00F335BB" w:rsidP="00B254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180"/>
        <w:contextualSpacing/>
        <w:jc w:val="both"/>
        <w:rPr>
          <w:rFonts w:ascii="Cambria" w:hAnsi="Cambria"/>
          <w:b/>
          <w:sz w:val="22"/>
          <w:szCs w:val="22"/>
        </w:rPr>
      </w:pPr>
      <w:r w:rsidRPr="00951EB6">
        <w:rPr>
          <w:rFonts w:ascii="Cambria" w:hAnsi="Cambria"/>
          <w:b/>
          <w:sz w:val="22"/>
          <w:szCs w:val="22"/>
        </w:rPr>
        <w:lastRenderedPageBreak/>
        <w:t>Victim support and empowerment through the investigation</w:t>
      </w:r>
    </w:p>
    <w:p w14:paraId="26188674" w14:textId="6043AC22" w:rsidR="002C4D4B" w:rsidRPr="00951EB6" w:rsidRDefault="0069642A" w:rsidP="00B25484">
      <w:pPr>
        <w:ind w:right="-180"/>
        <w:jc w:val="both"/>
        <w:rPr>
          <w:rFonts w:ascii="Cambria" w:eastAsia="Times New Roman" w:hAnsi="Cambria"/>
          <w:sz w:val="22"/>
          <w:szCs w:val="22"/>
        </w:rPr>
      </w:pPr>
      <w:r w:rsidRPr="00951EB6">
        <w:rPr>
          <w:rFonts w:ascii="Cambria" w:hAnsi="Cambria"/>
          <w:b/>
          <w:sz w:val="22"/>
          <w:szCs w:val="22"/>
        </w:rPr>
        <w:t>Independent</w:t>
      </w:r>
      <w:r w:rsidR="00743A8D">
        <w:rPr>
          <w:rFonts w:ascii="Cambria" w:hAnsi="Cambria"/>
          <w:b/>
          <w:sz w:val="22"/>
          <w:szCs w:val="22"/>
        </w:rPr>
        <w:t>.</w:t>
      </w:r>
      <w:r w:rsidRPr="00951EB6">
        <w:rPr>
          <w:rFonts w:ascii="Cambria" w:hAnsi="Cambria"/>
          <w:sz w:val="22"/>
          <w:szCs w:val="22"/>
        </w:rPr>
        <w:t xml:space="preserve"> </w:t>
      </w:r>
      <w:r w:rsidR="001C5870">
        <w:rPr>
          <w:rFonts w:ascii="Cambria" w:hAnsi="Cambria"/>
          <w:sz w:val="22"/>
          <w:szCs w:val="22"/>
        </w:rPr>
        <w:t xml:space="preserve">If the investigation is handled </w:t>
      </w:r>
      <w:r w:rsidR="001F4748">
        <w:rPr>
          <w:rFonts w:ascii="Cambria" w:hAnsi="Cambria"/>
          <w:sz w:val="22"/>
          <w:szCs w:val="22"/>
        </w:rPr>
        <w:t xml:space="preserve">internally in </w:t>
      </w:r>
      <w:r w:rsidR="001C5870">
        <w:rPr>
          <w:rFonts w:ascii="Cambria" w:hAnsi="Cambria"/>
          <w:sz w:val="22"/>
          <w:szCs w:val="22"/>
        </w:rPr>
        <w:t xml:space="preserve">the </w:t>
      </w:r>
      <w:r w:rsidR="00FA3359">
        <w:rPr>
          <w:rFonts w:ascii="Cambria" w:hAnsi="Cambria"/>
          <w:sz w:val="22"/>
          <w:szCs w:val="22"/>
        </w:rPr>
        <w:t>organization</w:t>
      </w:r>
      <w:r w:rsidR="001C5870">
        <w:rPr>
          <w:rFonts w:ascii="Cambria" w:hAnsi="Cambria"/>
          <w:sz w:val="22"/>
          <w:szCs w:val="22"/>
        </w:rPr>
        <w:t>, t</w:t>
      </w:r>
      <w:r w:rsidR="00FF626E">
        <w:rPr>
          <w:rFonts w:ascii="Cambria" w:hAnsi="Cambria"/>
          <w:sz w:val="22"/>
          <w:szCs w:val="22"/>
        </w:rPr>
        <w:t xml:space="preserve">he </w:t>
      </w:r>
      <w:r w:rsidR="00FF626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individual</w:t>
      </w:r>
      <w:r w:rsidR="00F26B39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(s) </w:t>
      </w:r>
      <w:r w:rsidR="001C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who</w:t>
      </w:r>
      <w:r w:rsidR="00FF626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</w:t>
      </w:r>
      <w:r w:rsidR="00F26B39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re</w:t>
      </w:r>
      <w:r w:rsidR="00FF626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ceiv</w:t>
      </w:r>
      <w:r w:rsidR="00F26B39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e</w:t>
      </w:r>
      <w:r w:rsidR="00FF626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and investigat</w:t>
      </w:r>
      <w:r w:rsidR="00F26B39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e</w:t>
      </w:r>
      <w:r w:rsidR="00FF626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complaints</w:t>
      </w:r>
      <w:r w:rsidR="00F26B39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should</w:t>
      </w:r>
      <w:r w:rsidR="00FF626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</w:t>
      </w:r>
      <w:r w:rsidR="00161D54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have</w:t>
      </w:r>
      <w:r w:rsidR="00FF626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</w:t>
      </w:r>
      <w:r w:rsidR="00161D54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fluent </w:t>
      </w:r>
      <w:r w:rsidR="00FF626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language capacity and cultural</w:t>
      </w:r>
      <w:r w:rsidR="00161D54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knowledge</w:t>
      </w:r>
      <w:r w:rsidR="006E5E48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, as well as</w:t>
      </w:r>
      <w:r w:rsidR="00161D54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independence in the </w:t>
      </w:r>
      <w:r w:rsidRPr="00951EB6">
        <w:rPr>
          <w:rFonts w:ascii="Cambria" w:hAnsi="Cambria"/>
          <w:sz w:val="22"/>
          <w:szCs w:val="22"/>
        </w:rPr>
        <w:t>investigation from those being complained against.</w:t>
      </w:r>
      <w:r w:rsidR="00C948B9">
        <w:rPr>
          <w:rFonts w:ascii="Cambria" w:hAnsi="Cambria"/>
          <w:sz w:val="22"/>
          <w:szCs w:val="22"/>
        </w:rPr>
        <w:t xml:space="preserve"> </w:t>
      </w:r>
    </w:p>
    <w:p w14:paraId="4D8E11B2" w14:textId="77777777" w:rsidR="0069642A" w:rsidRPr="00951EB6" w:rsidRDefault="0069642A" w:rsidP="00B25484">
      <w:pPr>
        <w:ind w:right="-180"/>
        <w:jc w:val="both"/>
        <w:rPr>
          <w:rFonts w:ascii="Cambria" w:hAnsi="Cambria"/>
          <w:sz w:val="22"/>
          <w:szCs w:val="22"/>
        </w:rPr>
      </w:pPr>
    </w:p>
    <w:p w14:paraId="1B140141" w14:textId="4230F5D6" w:rsidR="004A6BCD" w:rsidRPr="00951EB6" w:rsidRDefault="00340FF9" w:rsidP="00B25484">
      <w:pPr>
        <w:ind w:right="-180"/>
        <w:jc w:val="both"/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</w:pPr>
      <w:r w:rsidRPr="00951EB6">
        <w:rPr>
          <w:rFonts w:ascii="Cambria" w:eastAsia="Times New Roman" w:hAnsi="Cambria" w:cs="Arial"/>
          <w:b/>
          <w:color w:val="222222"/>
          <w:sz w:val="22"/>
          <w:szCs w:val="22"/>
          <w:shd w:val="clear" w:color="auto" w:fill="FFFFFF"/>
        </w:rPr>
        <w:t>Thorough and Expedient</w:t>
      </w:r>
      <w:r w:rsidRPr="00951EB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. </w:t>
      </w:r>
      <w:r w:rsidR="004A6BCD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Every complaint </w:t>
      </w:r>
      <w:r w:rsidR="0089789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should</w:t>
      </w:r>
      <w:r w:rsidR="00A246E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be investigated</w:t>
      </w:r>
      <w:r w:rsidR="004A6BCD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, whether it involves someone currently or formerly und</w:t>
      </w:r>
      <w:r w:rsidR="005E6DFB" w:rsidRPr="00951EB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er the organization’s control. </w:t>
      </w:r>
      <w:r w:rsidR="004A6BCD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When </w:t>
      </w:r>
      <w:r w:rsidR="004A6BCD" w:rsidRPr="00951EB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the perpetrator </w:t>
      </w:r>
      <w:r w:rsidR="004A6BCD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is not un</w:t>
      </w:r>
      <w:r w:rsidR="00C55BF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der the organization’s control,</w:t>
      </w:r>
      <w:r w:rsidR="001A55D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</w:t>
      </w:r>
      <w:r w:rsidRPr="00951EB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the </w:t>
      </w:r>
      <w:r w:rsidR="004A6BCD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complainant </w:t>
      </w:r>
      <w:r w:rsidR="00C55BF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should be referred </w:t>
      </w:r>
      <w:r w:rsidR="004A6BCD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to the appropria</w:t>
      </w:r>
      <w:r w:rsidR="004A6BCD" w:rsidRPr="00951EB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te organization or official. </w:t>
      </w:r>
      <w:r w:rsidR="001A55D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No complaint </w:t>
      </w:r>
      <w:r w:rsidR="00C55BF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should be rejected as untimely</w:t>
      </w:r>
      <w:r w:rsidR="004A6BCD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. </w:t>
      </w:r>
      <w:r w:rsidR="00C55BF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C</w:t>
      </w:r>
      <w:r w:rsidR="004A6BCD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omplaints</w:t>
      </w:r>
      <w:r w:rsidR="005E6DFB" w:rsidRPr="00951EB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</w:t>
      </w:r>
      <w:r w:rsidR="00C55BF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should be </w:t>
      </w:r>
      <w:r w:rsidR="004A6BCD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immediately</w:t>
      </w:r>
      <w:r w:rsidR="00C55BF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investigated</w:t>
      </w:r>
      <w:r w:rsidR="004A6BCD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to promote access to witnesses, documents and other </w:t>
      </w:r>
      <w:r w:rsidR="009829C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physical </w:t>
      </w:r>
      <w:r w:rsidR="004A6BCD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evidence that can be difficult to locate in a crisis environment. </w:t>
      </w:r>
      <w:r w:rsidR="00C55BF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C</w:t>
      </w:r>
      <w:r w:rsidRPr="00951EB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omplaints </w:t>
      </w:r>
      <w:r w:rsidR="00C55BF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should be resolved </w:t>
      </w:r>
      <w:r w:rsidR="0038322D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expediently and </w:t>
      </w:r>
      <w:r w:rsidR="00EB4211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within an indicative time frame</w:t>
      </w:r>
      <w:r w:rsidRPr="00951EB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.</w:t>
      </w:r>
    </w:p>
    <w:p w14:paraId="1A89BFD9" w14:textId="77777777" w:rsidR="00340FF9" w:rsidRPr="00951EB6" w:rsidRDefault="00340FF9" w:rsidP="00B25484">
      <w:pPr>
        <w:ind w:right="-180"/>
        <w:jc w:val="both"/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</w:pPr>
    </w:p>
    <w:p w14:paraId="3191B47C" w14:textId="6E44407A" w:rsidR="00340FF9" w:rsidRPr="00951EB6" w:rsidRDefault="003E1936" w:rsidP="00B25484">
      <w:pPr>
        <w:ind w:right="-180"/>
        <w:jc w:val="both"/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</w:pPr>
      <w:r>
        <w:rPr>
          <w:rFonts w:ascii="Cambria" w:hAnsi="Cambria"/>
          <w:b/>
          <w:sz w:val="22"/>
          <w:szCs w:val="22"/>
        </w:rPr>
        <w:t>Empowerment</w:t>
      </w:r>
      <w:r w:rsidR="00340FF9" w:rsidRPr="00951EB6">
        <w:rPr>
          <w:rFonts w:ascii="Cambria" w:hAnsi="Cambria"/>
          <w:sz w:val="22"/>
          <w:szCs w:val="22"/>
        </w:rPr>
        <w:t xml:space="preserve">. </w:t>
      </w:r>
      <w:r w:rsidR="00DE15EE">
        <w:rPr>
          <w:rFonts w:ascii="Cambria" w:hAnsi="Cambria"/>
          <w:sz w:val="22"/>
          <w:szCs w:val="22"/>
        </w:rPr>
        <w:t>C</w:t>
      </w:r>
      <w:r w:rsidR="00B77CD9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laimants</w:t>
      </w:r>
      <w:r w:rsidR="00340FF9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and perpetrators</w:t>
      </w:r>
      <w:r w:rsidR="00DE15E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should receive regular updates</w:t>
      </w:r>
      <w:r w:rsidR="00340FF9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at pre-established interva</w:t>
      </w:r>
      <w:r w:rsidR="00B77CD9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ls throughout the investigation. </w:t>
      </w:r>
      <w:r w:rsidR="00DE15E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The process should be carefully explained to the claimant. </w:t>
      </w:r>
      <w:r w:rsidR="00B77CD9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</w:t>
      </w:r>
      <w:r w:rsidR="00DE15E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P</w:t>
      </w:r>
      <w:r w:rsidR="00340FF9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rotective measures </w:t>
      </w:r>
      <w:r w:rsidR="00DE15EE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should be adopted </w:t>
      </w:r>
      <w:r w:rsidR="00340FF9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to guard against the risk of re-victimization, such as prohibiting one-on-one closed door interviews and requiring a mixed-gender team </w:t>
      </w:r>
      <w:r w:rsidR="00340FF9" w:rsidRPr="00951EB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of </w:t>
      </w:r>
      <w:r w:rsidR="00340FF9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investigators to conduct interviews.</w:t>
      </w:r>
      <w:r w:rsidR="00B77CD9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</w:t>
      </w:r>
      <w:r w:rsidR="00340FF9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  </w:t>
      </w:r>
    </w:p>
    <w:p w14:paraId="11F59FC0" w14:textId="77777777" w:rsidR="00340FF9" w:rsidRPr="00951EB6" w:rsidRDefault="00340FF9" w:rsidP="00B25484">
      <w:pPr>
        <w:ind w:right="-180"/>
        <w:jc w:val="both"/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</w:pPr>
    </w:p>
    <w:p w14:paraId="327EAD10" w14:textId="53C88EA6" w:rsidR="00340FF9" w:rsidRPr="00951EB6" w:rsidRDefault="009348CD" w:rsidP="00B25484">
      <w:pPr>
        <w:ind w:righ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Redress</w:t>
      </w:r>
      <w:r w:rsidR="006C2658">
        <w:rPr>
          <w:rFonts w:ascii="Cambria" w:hAnsi="Cambria"/>
          <w:b/>
          <w:sz w:val="22"/>
          <w:szCs w:val="22"/>
        </w:rPr>
        <w:t xml:space="preserve"> and Security</w:t>
      </w:r>
      <w:r w:rsidR="00F26B39">
        <w:rPr>
          <w:rFonts w:ascii="Cambria" w:hAnsi="Cambria"/>
          <w:sz w:val="22"/>
          <w:szCs w:val="22"/>
        </w:rPr>
        <w:t xml:space="preserve">. </w:t>
      </w:r>
      <w:r w:rsidR="00234942">
        <w:rPr>
          <w:rFonts w:ascii="Cambria" w:hAnsi="Cambria"/>
          <w:sz w:val="22"/>
          <w:szCs w:val="22"/>
        </w:rPr>
        <w:t>C</w:t>
      </w:r>
      <w:r w:rsidR="00F642AD">
        <w:rPr>
          <w:rFonts w:ascii="Cambria" w:hAnsi="Cambria"/>
          <w:sz w:val="22"/>
          <w:szCs w:val="22"/>
        </w:rPr>
        <w:t xml:space="preserve">omplainants </w:t>
      </w:r>
      <w:r w:rsidR="00234942">
        <w:rPr>
          <w:rFonts w:ascii="Cambria" w:hAnsi="Cambria"/>
          <w:sz w:val="22"/>
          <w:szCs w:val="22"/>
        </w:rPr>
        <w:t>should have</w:t>
      </w:r>
      <w:r w:rsidR="00F642AD">
        <w:rPr>
          <w:rFonts w:ascii="Cambria" w:hAnsi="Cambria"/>
          <w:sz w:val="22"/>
          <w:szCs w:val="22"/>
        </w:rPr>
        <w:t xml:space="preserve"> </w:t>
      </w:r>
      <w:r w:rsidR="00340FF9" w:rsidRPr="00951EB6">
        <w:rPr>
          <w:rFonts w:ascii="Cambria" w:hAnsi="Cambria"/>
          <w:sz w:val="22"/>
          <w:szCs w:val="22"/>
        </w:rPr>
        <w:t>access to</w:t>
      </w:r>
      <w:r w:rsidR="004655E7">
        <w:rPr>
          <w:rFonts w:ascii="Cambria" w:hAnsi="Cambria"/>
          <w:sz w:val="22"/>
          <w:szCs w:val="22"/>
        </w:rPr>
        <w:t xml:space="preserve"> medical and </w:t>
      </w:r>
      <w:r w:rsidR="00340FF9" w:rsidRPr="00951EB6">
        <w:rPr>
          <w:rFonts w:ascii="Cambria" w:hAnsi="Cambria"/>
          <w:sz w:val="22"/>
          <w:szCs w:val="22"/>
        </w:rPr>
        <w:t>psychological</w:t>
      </w:r>
      <w:r w:rsidR="00F26B39">
        <w:rPr>
          <w:rFonts w:ascii="Cambria" w:hAnsi="Cambria"/>
          <w:sz w:val="22"/>
          <w:szCs w:val="22"/>
        </w:rPr>
        <w:t xml:space="preserve"> </w:t>
      </w:r>
      <w:r w:rsidR="00340FF9" w:rsidRPr="00951EB6">
        <w:rPr>
          <w:rFonts w:ascii="Cambria" w:hAnsi="Cambria"/>
          <w:sz w:val="22"/>
          <w:szCs w:val="22"/>
        </w:rPr>
        <w:t xml:space="preserve">services, </w:t>
      </w:r>
      <w:r w:rsidR="004655E7">
        <w:rPr>
          <w:rFonts w:ascii="Cambria" w:hAnsi="Cambria"/>
          <w:sz w:val="22"/>
          <w:szCs w:val="22"/>
        </w:rPr>
        <w:t xml:space="preserve">emergency shelters, </w:t>
      </w:r>
      <w:r w:rsidR="00CB7877">
        <w:rPr>
          <w:rFonts w:ascii="Cambria" w:hAnsi="Cambria"/>
          <w:sz w:val="22"/>
          <w:szCs w:val="22"/>
        </w:rPr>
        <w:t>and legal assistance (</w:t>
      </w:r>
      <w:r w:rsidR="006E5E48">
        <w:rPr>
          <w:rFonts w:ascii="Cambria" w:hAnsi="Cambria"/>
          <w:sz w:val="22"/>
          <w:szCs w:val="22"/>
        </w:rPr>
        <w:t>e</w:t>
      </w:r>
      <w:r w:rsidR="00B0069F">
        <w:rPr>
          <w:rFonts w:ascii="Cambria" w:hAnsi="Cambria"/>
          <w:sz w:val="22"/>
          <w:szCs w:val="22"/>
        </w:rPr>
        <w:t xml:space="preserve">.g., </w:t>
      </w:r>
      <w:r w:rsidR="006E5E48">
        <w:rPr>
          <w:rFonts w:ascii="Cambria" w:hAnsi="Cambria"/>
          <w:sz w:val="22"/>
          <w:szCs w:val="22"/>
        </w:rPr>
        <w:t>to file</w:t>
      </w:r>
      <w:r w:rsidR="006C56F5">
        <w:rPr>
          <w:rFonts w:ascii="Cambria" w:hAnsi="Cambria"/>
          <w:sz w:val="22"/>
          <w:szCs w:val="22"/>
        </w:rPr>
        <w:t xml:space="preserve"> </w:t>
      </w:r>
      <w:r w:rsidR="00340FF9" w:rsidRPr="00951EB6">
        <w:rPr>
          <w:rFonts w:ascii="Cambria" w:hAnsi="Cambria"/>
          <w:sz w:val="22"/>
          <w:szCs w:val="22"/>
        </w:rPr>
        <w:t xml:space="preserve">paternity claims) </w:t>
      </w:r>
      <w:r w:rsidR="004655E7">
        <w:rPr>
          <w:rFonts w:ascii="Cambria" w:hAnsi="Cambria"/>
          <w:sz w:val="22"/>
          <w:szCs w:val="22"/>
        </w:rPr>
        <w:t>r</w:t>
      </w:r>
      <w:r w:rsidR="00340FF9" w:rsidRPr="00951EB6">
        <w:rPr>
          <w:rFonts w:ascii="Cambria" w:hAnsi="Cambria"/>
          <w:sz w:val="22"/>
          <w:szCs w:val="22"/>
        </w:rPr>
        <w:t>elated to the claim</w:t>
      </w:r>
      <w:r w:rsidR="00D7287F">
        <w:rPr>
          <w:rFonts w:ascii="Cambria" w:hAnsi="Cambria"/>
          <w:sz w:val="22"/>
          <w:szCs w:val="22"/>
        </w:rPr>
        <w:t>s</w:t>
      </w:r>
      <w:r w:rsidR="00CB7877">
        <w:rPr>
          <w:rFonts w:ascii="Cambria" w:hAnsi="Cambria"/>
          <w:sz w:val="22"/>
          <w:szCs w:val="22"/>
        </w:rPr>
        <w:t xml:space="preserve">, and </w:t>
      </w:r>
      <w:r w:rsidR="007315BC">
        <w:rPr>
          <w:rFonts w:ascii="Cambria" w:hAnsi="Cambria"/>
          <w:sz w:val="22"/>
          <w:szCs w:val="22"/>
        </w:rPr>
        <w:t xml:space="preserve">urgent </w:t>
      </w:r>
      <w:r w:rsidR="00CB7877">
        <w:rPr>
          <w:rFonts w:ascii="Cambria" w:hAnsi="Cambria"/>
          <w:sz w:val="22"/>
          <w:szCs w:val="22"/>
        </w:rPr>
        <w:t>material needs</w:t>
      </w:r>
      <w:r w:rsidR="00340FF9" w:rsidRPr="00951EB6">
        <w:rPr>
          <w:rFonts w:ascii="Cambria" w:hAnsi="Cambria"/>
          <w:sz w:val="22"/>
          <w:szCs w:val="22"/>
        </w:rPr>
        <w:t>.</w:t>
      </w:r>
      <w:r w:rsidR="00F26B39">
        <w:rPr>
          <w:rFonts w:ascii="Cambria" w:hAnsi="Cambria"/>
          <w:sz w:val="22"/>
          <w:szCs w:val="22"/>
        </w:rPr>
        <w:t xml:space="preserve"> If a complainant receives threats or fear</w:t>
      </w:r>
      <w:r w:rsidR="006C2658">
        <w:rPr>
          <w:rFonts w:ascii="Cambria" w:hAnsi="Cambria"/>
          <w:sz w:val="22"/>
          <w:szCs w:val="22"/>
        </w:rPr>
        <w:t>s</w:t>
      </w:r>
      <w:r w:rsidR="00F26B39">
        <w:rPr>
          <w:rFonts w:ascii="Cambria" w:hAnsi="Cambria"/>
          <w:sz w:val="22"/>
          <w:szCs w:val="22"/>
        </w:rPr>
        <w:t xml:space="preserve"> retaliation from the perpetrator, </w:t>
      </w:r>
      <w:r w:rsidR="00234942">
        <w:rPr>
          <w:rFonts w:ascii="Cambria" w:hAnsi="Cambria"/>
          <w:sz w:val="22"/>
          <w:szCs w:val="22"/>
        </w:rPr>
        <w:t xml:space="preserve">the </w:t>
      </w:r>
      <w:r w:rsidR="00FA3359">
        <w:rPr>
          <w:rFonts w:ascii="Cambria" w:hAnsi="Cambria"/>
          <w:sz w:val="22"/>
          <w:szCs w:val="22"/>
        </w:rPr>
        <w:t>organization</w:t>
      </w:r>
      <w:r w:rsidR="00234942">
        <w:rPr>
          <w:rFonts w:ascii="Cambria" w:hAnsi="Cambria"/>
          <w:sz w:val="22"/>
          <w:szCs w:val="22"/>
        </w:rPr>
        <w:t xml:space="preserve"> should </w:t>
      </w:r>
      <w:r w:rsidR="00F642AD">
        <w:rPr>
          <w:rFonts w:ascii="Cambria" w:hAnsi="Cambria"/>
          <w:sz w:val="22"/>
          <w:szCs w:val="22"/>
        </w:rPr>
        <w:t xml:space="preserve">make </w:t>
      </w:r>
      <w:r w:rsidR="00F26B39">
        <w:rPr>
          <w:rFonts w:ascii="Cambria" w:hAnsi="Cambria"/>
          <w:sz w:val="22"/>
          <w:szCs w:val="22"/>
        </w:rPr>
        <w:t xml:space="preserve">every effort </w:t>
      </w:r>
      <w:r w:rsidR="006C56F5">
        <w:rPr>
          <w:rFonts w:ascii="Cambria" w:hAnsi="Cambria"/>
          <w:sz w:val="22"/>
          <w:szCs w:val="22"/>
        </w:rPr>
        <w:t xml:space="preserve">to protect her or </w:t>
      </w:r>
      <w:r w:rsidR="00F26B39">
        <w:rPr>
          <w:rFonts w:ascii="Cambria" w:hAnsi="Cambria"/>
          <w:sz w:val="22"/>
          <w:szCs w:val="22"/>
        </w:rPr>
        <w:t>his safety</w:t>
      </w:r>
      <w:r w:rsidR="004655E7">
        <w:rPr>
          <w:rFonts w:ascii="Cambria" w:hAnsi="Cambria"/>
          <w:sz w:val="22"/>
          <w:szCs w:val="22"/>
        </w:rPr>
        <w:t xml:space="preserve"> and prevent re-victimization.</w:t>
      </w:r>
      <w:r w:rsidR="00F26B39">
        <w:rPr>
          <w:rFonts w:ascii="Cambria" w:hAnsi="Cambria"/>
          <w:sz w:val="22"/>
          <w:szCs w:val="22"/>
        </w:rPr>
        <w:t xml:space="preserve"> </w:t>
      </w:r>
      <w:r w:rsidR="00B0069F">
        <w:rPr>
          <w:rFonts w:ascii="Cambria" w:hAnsi="Cambria"/>
          <w:sz w:val="22"/>
          <w:szCs w:val="22"/>
        </w:rPr>
        <w:t>Create a trust fund to provide complainants with these types of redress and compensation.</w:t>
      </w:r>
    </w:p>
    <w:p w14:paraId="0D38E430" w14:textId="77777777" w:rsidR="00F335BB" w:rsidRPr="00951EB6" w:rsidRDefault="00F335BB" w:rsidP="00B25484">
      <w:pPr>
        <w:ind w:right="-180"/>
        <w:jc w:val="both"/>
        <w:rPr>
          <w:rFonts w:ascii="Cambria" w:hAnsi="Cambria"/>
          <w:sz w:val="22"/>
          <w:szCs w:val="22"/>
        </w:rPr>
      </w:pPr>
    </w:p>
    <w:p w14:paraId="5A96BA1C" w14:textId="533564E9" w:rsidR="00F335BB" w:rsidRPr="00951EB6" w:rsidRDefault="00C127CC" w:rsidP="00B25484">
      <w:pPr>
        <w:ind w:right="-180"/>
        <w:jc w:val="both"/>
        <w:rPr>
          <w:rFonts w:ascii="Cambria" w:hAnsi="Cambria"/>
          <w:sz w:val="22"/>
          <w:szCs w:val="22"/>
        </w:rPr>
      </w:pPr>
      <w:r w:rsidRPr="00951EB6">
        <w:rPr>
          <w:rFonts w:ascii="Cambria" w:hAnsi="Cambria"/>
          <w:b/>
          <w:sz w:val="22"/>
          <w:szCs w:val="22"/>
        </w:rPr>
        <w:t>5</w:t>
      </w:r>
      <w:r w:rsidR="00F335BB" w:rsidRPr="00951EB6">
        <w:rPr>
          <w:rFonts w:ascii="Cambria" w:hAnsi="Cambria"/>
          <w:b/>
          <w:sz w:val="22"/>
          <w:szCs w:val="22"/>
        </w:rPr>
        <w:t xml:space="preserve">. </w:t>
      </w:r>
      <w:r w:rsidRPr="00951EB6">
        <w:rPr>
          <w:rFonts w:ascii="Cambria" w:hAnsi="Cambria"/>
          <w:b/>
          <w:sz w:val="22"/>
          <w:szCs w:val="22"/>
        </w:rPr>
        <w:t xml:space="preserve">  </w:t>
      </w:r>
      <w:r w:rsidR="00F335BB" w:rsidRPr="00951EB6">
        <w:rPr>
          <w:rFonts w:ascii="Cambria" w:hAnsi="Cambria"/>
          <w:b/>
          <w:sz w:val="22"/>
          <w:szCs w:val="22"/>
        </w:rPr>
        <w:t xml:space="preserve">Legal accountability that </w:t>
      </w:r>
      <w:r w:rsidR="00EB3696" w:rsidRPr="00951EB6">
        <w:rPr>
          <w:rFonts w:ascii="Cambria" w:hAnsi="Cambria"/>
          <w:b/>
          <w:sz w:val="22"/>
          <w:szCs w:val="22"/>
        </w:rPr>
        <w:t xml:space="preserve">reinforce victims’ right to legal action </w:t>
      </w:r>
      <w:r w:rsidR="006E5E48">
        <w:rPr>
          <w:rFonts w:ascii="Cambria" w:hAnsi="Cambria"/>
          <w:b/>
          <w:sz w:val="22"/>
          <w:szCs w:val="22"/>
        </w:rPr>
        <w:t>and host state sovereignty</w:t>
      </w:r>
    </w:p>
    <w:p w14:paraId="2614E1A5" w14:textId="1EDB5BCB" w:rsidR="00F335BB" w:rsidRPr="00A655DD" w:rsidRDefault="00EB3696" w:rsidP="00B25484">
      <w:pPr>
        <w:ind w:right="-180"/>
        <w:jc w:val="both"/>
        <w:rPr>
          <w:rFonts w:ascii="Cambria" w:eastAsia="Times New Roman" w:hAnsi="Cambria"/>
          <w:sz w:val="22"/>
          <w:szCs w:val="22"/>
        </w:rPr>
      </w:pPr>
      <w:r w:rsidRPr="00951EB6">
        <w:rPr>
          <w:rFonts w:ascii="Cambria" w:hAnsi="Cambria"/>
          <w:sz w:val="22"/>
          <w:szCs w:val="22"/>
        </w:rPr>
        <w:t>Grievance procedures must reinforce v</w:t>
      </w:r>
      <w:r w:rsidR="008C0DE7" w:rsidRPr="00951EB6">
        <w:rPr>
          <w:rFonts w:ascii="Cambria" w:hAnsi="Cambria"/>
          <w:sz w:val="22"/>
          <w:szCs w:val="22"/>
        </w:rPr>
        <w:t>ictims</w:t>
      </w:r>
      <w:r w:rsidRPr="00951EB6">
        <w:rPr>
          <w:rFonts w:ascii="Cambria" w:hAnsi="Cambria"/>
          <w:sz w:val="22"/>
          <w:szCs w:val="22"/>
        </w:rPr>
        <w:t>’</w:t>
      </w:r>
      <w:r w:rsidR="008C0DE7" w:rsidRPr="00951EB6">
        <w:rPr>
          <w:rFonts w:ascii="Cambria" w:hAnsi="Cambria"/>
          <w:sz w:val="22"/>
          <w:szCs w:val="22"/>
        </w:rPr>
        <w:t xml:space="preserve"> </w:t>
      </w:r>
      <w:r w:rsidRPr="00951EB6">
        <w:rPr>
          <w:rFonts w:ascii="Cambria" w:hAnsi="Cambria"/>
          <w:sz w:val="22"/>
          <w:szCs w:val="22"/>
        </w:rPr>
        <w:t>r</w:t>
      </w:r>
      <w:r w:rsidR="008C0DE7" w:rsidRPr="00951EB6">
        <w:rPr>
          <w:rFonts w:ascii="Cambria" w:hAnsi="Cambria"/>
          <w:sz w:val="22"/>
          <w:szCs w:val="22"/>
        </w:rPr>
        <w:t xml:space="preserve">ight </w:t>
      </w:r>
      <w:r w:rsidRPr="00951EB6">
        <w:rPr>
          <w:rFonts w:ascii="Cambria" w:hAnsi="Cambria"/>
          <w:sz w:val="22"/>
          <w:szCs w:val="22"/>
        </w:rPr>
        <w:t>to</w:t>
      </w:r>
      <w:r w:rsidR="008C0DE7" w:rsidRPr="00951EB6">
        <w:rPr>
          <w:rFonts w:ascii="Cambria" w:hAnsi="Cambria"/>
          <w:sz w:val="22"/>
          <w:szCs w:val="22"/>
        </w:rPr>
        <w:t xml:space="preserve"> lega</w:t>
      </w:r>
      <w:r w:rsidR="00EE3628">
        <w:rPr>
          <w:rFonts w:ascii="Cambria" w:hAnsi="Cambria"/>
          <w:sz w:val="22"/>
          <w:szCs w:val="22"/>
        </w:rPr>
        <w:t xml:space="preserve">l action for criminal and tortious conduct. </w:t>
      </w:r>
      <w:r w:rsidR="0033245D">
        <w:rPr>
          <w:rFonts w:ascii="Cambria" w:eastAsia="Times New Roman" w:hAnsi="Cambria"/>
          <w:sz w:val="22"/>
          <w:szCs w:val="22"/>
        </w:rPr>
        <w:t xml:space="preserve">Aid </w:t>
      </w:r>
      <w:r w:rsidR="00D17532">
        <w:rPr>
          <w:rFonts w:ascii="Cambria" w:eastAsia="Times New Roman" w:hAnsi="Cambria"/>
          <w:sz w:val="22"/>
          <w:szCs w:val="22"/>
        </w:rPr>
        <w:t>organizations</w:t>
      </w:r>
      <w:r w:rsidR="0033245D" w:rsidRPr="00951EB6">
        <w:rPr>
          <w:rFonts w:ascii="Cambria" w:eastAsia="Times New Roman" w:hAnsi="Cambria"/>
          <w:sz w:val="22"/>
          <w:szCs w:val="22"/>
        </w:rPr>
        <w:t xml:space="preserve"> should consent to </w:t>
      </w:r>
      <w:r w:rsidR="00D17532">
        <w:rPr>
          <w:rFonts w:ascii="Cambria" w:eastAsia="Times New Roman" w:hAnsi="Cambria"/>
          <w:sz w:val="22"/>
          <w:szCs w:val="22"/>
        </w:rPr>
        <w:t xml:space="preserve">criminal and civil </w:t>
      </w:r>
      <w:r w:rsidR="0033245D" w:rsidRPr="00951EB6">
        <w:rPr>
          <w:rFonts w:ascii="Cambria" w:eastAsia="Times New Roman" w:hAnsi="Cambria"/>
          <w:sz w:val="22"/>
          <w:szCs w:val="22"/>
        </w:rPr>
        <w:t xml:space="preserve">jurisdiction where necessary in order to facilitate victim access to </w:t>
      </w:r>
      <w:r w:rsidR="00D17532">
        <w:rPr>
          <w:rFonts w:ascii="Cambria" w:eastAsia="Times New Roman" w:hAnsi="Cambria"/>
          <w:sz w:val="22"/>
          <w:szCs w:val="22"/>
        </w:rPr>
        <w:t>all available</w:t>
      </w:r>
      <w:r w:rsidR="0033245D" w:rsidRPr="00951EB6">
        <w:rPr>
          <w:rFonts w:ascii="Cambria" w:eastAsia="Times New Roman" w:hAnsi="Cambria"/>
          <w:sz w:val="22"/>
          <w:szCs w:val="22"/>
        </w:rPr>
        <w:t xml:space="preserve"> remedies. </w:t>
      </w:r>
      <w:r w:rsidR="002F5F94">
        <w:rPr>
          <w:rFonts w:ascii="Cambria" w:hAnsi="Cambria"/>
          <w:sz w:val="22"/>
          <w:szCs w:val="22"/>
        </w:rPr>
        <w:t>If</w:t>
      </w:r>
      <w:r w:rsidR="00D17532">
        <w:rPr>
          <w:rFonts w:ascii="Cambria" w:hAnsi="Cambria"/>
          <w:sz w:val="22"/>
          <w:szCs w:val="22"/>
        </w:rPr>
        <w:t xml:space="preserve"> an</w:t>
      </w:r>
      <w:r w:rsidR="002F5F94">
        <w:rPr>
          <w:rFonts w:ascii="Cambria" w:hAnsi="Cambria"/>
          <w:sz w:val="22"/>
          <w:szCs w:val="22"/>
        </w:rPr>
        <w:t xml:space="preserve"> investigation</w:t>
      </w:r>
      <w:r w:rsidR="00D17532">
        <w:rPr>
          <w:rFonts w:ascii="Cambria" w:hAnsi="Cambria"/>
          <w:sz w:val="22"/>
          <w:szCs w:val="22"/>
        </w:rPr>
        <w:t xml:space="preserve"> reveals</w:t>
      </w:r>
      <w:r w:rsidR="002F5F94">
        <w:rPr>
          <w:rFonts w:ascii="Cambria" w:hAnsi="Cambria"/>
          <w:sz w:val="22"/>
          <w:szCs w:val="22"/>
        </w:rPr>
        <w:t xml:space="preserve"> evidence of criminal conduct, the case </w:t>
      </w:r>
      <w:r w:rsidR="00662004">
        <w:rPr>
          <w:rFonts w:ascii="Cambria" w:hAnsi="Cambria"/>
          <w:sz w:val="22"/>
          <w:szCs w:val="22"/>
        </w:rPr>
        <w:t>must</w:t>
      </w:r>
      <w:r w:rsidR="008C0DE7" w:rsidRPr="00951EB6">
        <w:rPr>
          <w:rFonts w:ascii="Cambria" w:hAnsi="Cambria"/>
          <w:sz w:val="22"/>
          <w:szCs w:val="22"/>
        </w:rPr>
        <w:t xml:space="preserve"> be referred to </w:t>
      </w:r>
      <w:r w:rsidR="002F5F94">
        <w:rPr>
          <w:rFonts w:ascii="Cambria" w:hAnsi="Cambria"/>
          <w:sz w:val="22"/>
          <w:szCs w:val="22"/>
        </w:rPr>
        <w:t xml:space="preserve">national </w:t>
      </w:r>
      <w:r w:rsidR="008C0DE7" w:rsidRPr="00951EB6">
        <w:rPr>
          <w:rFonts w:ascii="Cambria" w:hAnsi="Cambria"/>
          <w:sz w:val="22"/>
          <w:szCs w:val="22"/>
        </w:rPr>
        <w:t>authorities</w:t>
      </w:r>
      <w:r w:rsidR="00EE3628">
        <w:rPr>
          <w:rFonts w:ascii="Cambria" w:hAnsi="Cambria"/>
          <w:sz w:val="22"/>
          <w:szCs w:val="22"/>
        </w:rPr>
        <w:t xml:space="preserve"> </w:t>
      </w:r>
      <w:r w:rsidR="00D17532">
        <w:rPr>
          <w:rFonts w:ascii="Cambria" w:hAnsi="Cambria"/>
          <w:sz w:val="22"/>
          <w:szCs w:val="22"/>
        </w:rPr>
        <w:t xml:space="preserve">in the host country, </w:t>
      </w:r>
      <w:r w:rsidR="00EE3628">
        <w:rPr>
          <w:rFonts w:ascii="Cambria" w:hAnsi="Cambria"/>
          <w:sz w:val="22"/>
          <w:szCs w:val="22"/>
        </w:rPr>
        <w:t xml:space="preserve">and other </w:t>
      </w:r>
      <w:r w:rsidR="00BE60C8">
        <w:rPr>
          <w:rFonts w:ascii="Cambria" w:hAnsi="Cambria"/>
          <w:sz w:val="22"/>
          <w:szCs w:val="22"/>
        </w:rPr>
        <w:t>countri</w:t>
      </w:r>
      <w:r w:rsidR="00D17532">
        <w:rPr>
          <w:rFonts w:ascii="Cambria" w:hAnsi="Cambria"/>
          <w:sz w:val="22"/>
          <w:szCs w:val="22"/>
        </w:rPr>
        <w:t>es where jurisdiction might be established</w:t>
      </w:r>
      <w:r w:rsidR="002F5F94">
        <w:rPr>
          <w:rFonts w:ascii="Cambria" w:hAnsi="Cambria"/>
          <w:sz w:val="22"/>
          <w:szCs w:val="22"/>
        </w:rPr>
        <w:t xml:space="preserve">, assuming </w:t>
      </w:r>
      <w:r w:rsidR="00187696">
        <w:rPr>
          <w:rFonts w:ascii="Cambria" w:hAnsi="Cambria"/>
          <w:sz w:val="22"/>
          <w:szCs w:val="22"/>
        </w:rPr>
        <w:t xml:space="preserve">the complainant’s </w:t>
      </w:r>
      <w:r w:rsidR="002F5F94">
        <w:rPr>
          <w:rFonts w:ascii="Cambria" w:hAnsi="Cambria"/>
          <w:sz w:val="22"/>
          <w:szCs w:val="22"/>
        </w:rPr>
        <w:t xml:space="preserve">informed </w:t>
      </w:r>
      <w:r w:rsidR="008C0DE7" w:rsidRPr="00951EB6">
        <w:rPr>
          <w:rFonts w:ascii="Cambria" w:hAnsi="Cambria"/>
          <w:sz w:val="22"/>
          <w:szCs w:val="22"/>
        </w:rPr>
        <w:t xml:space="preserve">consent. </w:t>
      </w:r>
      <w:r w:rsidR="00662004">
        <w:rPr>
          <w:rFonts w:ascii="Cambria" w:hAnsi="Cambria"/>
          <w:sz w:val="22"/>
          <w:szCs w:val="22"/>
        </w:rPr>
        <w:t>Agencie</w:t>
      </w:r>
      <w:r w:rsidR="008C0DE7" w:rsidRPr="00951EB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s should </w:t>
      </w:r>
      <w:r w:rsidR="008C0DE7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cooperate</w:t>
      </w:r>
      <w:r w:rsidR="002F5F94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with outside investigations</w:t>
      </w:r>
      <w:r w:rsidR="008C0DE7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</w:t>
      </w:r>
      <w:r w:rsidR="00130B0C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(civil and criminal) </w:t>
      </w:r>
      <w:r w:rsidR="008C0DE7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by sharing i</w:t>
      </w:r>
      <w:r w:rsidRPr="00951EB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nternal investigation findings and </w:t>
      </w:r>
      <w:r w:rsidR="008C0DE7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providing access to </w:t>
      </w:r>
      <w:r w:rsidR="0018769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documents, work-</w:t>
      </w:r>
      <w:r w:rsidR="002F5F94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site</w:t>
      </w:r>
      <w:r w:rsidR="00662004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s</w:t>
      </w:r>
      <w:r w:rsidR="002F5F94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</w:t>
      </w:r>
      <w:r w:rsidR="008C0DE7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and staff.</w:t>
      </w:r>
      <w:r w:rsidR="00C966F8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</w:t>
      </w:r>
      <w:r w:rsidR="006E5E48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Cooperation with local authorities and investigations will often be a necessary but insufficient consequence given weaknesses in host state legal systems. </w:t>
      </w:r>
      <w:r w:rsidR="006E5E48">
        <w:rPr>
          <w:rFonts w:ascii="Cambria" w:eastAsia="Times New Roman" w:hAnsi="Cambria"/>
          <w:sz w:val="22"/>
          <w:szCs w:val="22"/>
        </w:rPr>
        <w:t>However</w:t>
      </w:r>
      <w:r w:rsidRPr="00951EB6">
        <w:rPr>
          <w:rFonts w:ascii="Cambria" w:hAnsi="Cambria"/>
          <w:sz w:val="22"/>
          <w:szCs w:val="22"/>
        </w:rPr>
        <w:t xml:space="preserve"> </w:t>
      </w:r>
      <w:r w:rsidR="006E5E48">
        <w:rPr>
          <w:rFonts w:ascii="Cambria" w:hAnsi="Cambria"/>
          <w:sz w:val="22"/>
          <w:szCs w:val="22"/>
        </w:rPr>
        <w:t>d</w:t>
      </w:r>
      <w:r w:rsidRPr="00951EB6">
        <w:rPr>
          <w:rFonts w:ascii="Cambria" w:hAnsi="Cambria"/>
          <w:sz w:val="22"/>
          <w:szCs w:val="22"/>
        </w:rPr>
        <w:t>isclosure</w:t>
      </w:r>
      <w:r w:rsidR="00E86F14" w:rsidRPr="00951EB6">
        <w:rPr>
          <w:rFonts w:ascii="Cambria" w:hAnsi="Cambria"/>
          <w:sz w:val="22"/>
          <w:szCs w:val="22"/>
        </w:rPr>
        <w:t xml:space="preserve"> and cooperation with</w:t>
      </w:r>
      <w:r w:rsidRPr="00951EB6">
        <w:rPr>
          <w:rFonts w:ascii="Cambria" w:hAnsi="Cambria"/>
          <w:sz w:val="22"/>
          <w:szCs w:val="22"/>
        </w:rPr>
        <w:t xml:space="preserve"> local authorities </w:t>
      </w:r>
      <w:r w:rsidR="00F335BB" w:rsidRPr="00951EB6">
        <w:rPr>
          <w:rFonts w:ascii="Cambria" w:hAnsi="Cambria"/>
          <w:sz w:val="22"/>
          <w:szCs w:val="22"/>
        </w:rPr>
        <w:t>preserv</w:t>
      </w:r>
      <w:r w:rsidR="00E86F14" w:rsidRPr="00951EB6">
        <w:rPr>
          <w:rFonts w:ascii="Cambria" w:hAnsi="Cambria"/>
          <w:sz w:val="22"/>
          <w:szCs w:val="22"/>
        </w:rPr>
        <w:t>e</w:t>
      </w:r>
      <w:r w:rsidR="006E5E48">
        <w:rPr>
          <w:rFonts w:ascii="Cambria" w:hAnsi="Cambria"/>
          <w:sz w:val="22"/>
          <w:szCs w:val="22"/>
        </w:rPr>
        <w:t xml:space="preserve"> and strengthen</w:t>
      </w:r>
      <w:r w:rsidR="00F335BB" w:rsidRPr="00951EB6">
        <w:rPr>
          <w:rFonts w:ascii="Cambria" w:hAnsi="Cambria"/>
          <w:sz w:val="22"/>
          <w:szCs w:val="22"/>
        </w:rPr>
        <w:t xml:space="preserve"> the </w:t>
      </w:r>
      <w:r w:rsidR="00E86F14" w:rsidRPr="00951EB6">
        <w:rPr>
          <w:rFonts w:ascii="Cambria" w:hAnsi="Cambria"/>
          <w:sz w:val="22"/>
          <w:szCs w:val="22"/>
        </w:rPr>
        <w:t xml:space="preserve">host </w:t>
      </w:r>
      <w:r w:rsidR="007951CE" w:rsidRPr="00951EB6">
        <w:rPr>
          <w:rFonts w:ascii="Cambria" w:hAnsi="Cambria"/>
          <w:sz w:val="22"/>
          <w:szCs w:val="22"/>
        </w:rPr>
        <w:t xml:space="preserve">government’s sovereignty </w:t>
      </w:r>
      <w:r w:rsidR="006E5E48">
        <w:rPr>
          <w:rFonts w:ascii="Cambria" w:hAnsi="Cambria"/>
          <w:sz w:val="22"/>
          <w:szCs w:val="22"/>
        </w:rPr>
        <w:t xml:space="preserve">and ensure aid personnel to not operate above the law. </w:t>
      </w:r>
    </w:p>
    <w:p w14:paraId="0A212C38" w14:textId="77777777" w:rsidR="00F335BB" w:rsidRPr="00951EB6" w:rsidRDefault="00F335BB" w:rsidP="00B25484">
      <w:pPr>
        <w:ind w:right="-180"/>
        <w:jc w:val="both"/>
        <w:rPr>
          <w:rFonts w:ascii="Cambria" w:hAnsi="Cambria"/>
          <w:sz w:val="22"/>
          <w:szCs w:val="22"/>
        </w:rPr>
      </w:pPr>
    </w:p>
    <w:p w14:paraId="676D2DE8" w14:textId="4E66D1E3" w:rsidR="00F335BB" w:rsidRPr="00951EB6" w:rsidRDefault="00C127CC" w:rsidP="00B25484">
      <w:pPr>
        <w:ind w:right="-180"/>
        <w:jc w:val="both"/>
        <w:rPr>
          <w:rFonts w:ascii="Cambria" w:hAnsi="Cambria"/>
          <w:sz w:val="22"/>
          <w:szCs w:val="22"/>
        </w:rPr>
      </w:pPr>
      <w:r w:rsidRPr="00951EB6">
        <w:rPr>
          <w:rFonts w:ascii="Cambria" w:hAnsi="Cambria"/>
          <w:b/>
          <w:sz w:val="22"/>
          <w:szCs w:val="22"/>
        </w:rPr>
        <w:t xml:space="preserve">6.  </w:t>
      </w:r>
      <w:r w:rsidR="00F335BB" w:rsidRPr="00951EB6">
        <w:rPr>
          <w:rFonts w:ascii="Cambria" w:hAnsi="Cambria"/>
          <w:b/>
          <w:sz w:val="22"/>
          <w:szCs w:val="22"/>
        </w:rPr>
        <w:t>Ensuring</w:t>
      </w:r>
      <w:r w:rsidR="00F335BB" w:rsidRPr="00951EB6">
        <w:rPr>
          <w:rFonts w:ascii="Cambria" w:hAnsi="Cambria"/>
          <w:sz w:val="22"/>
          <w:szCs w:val="22"/>
        </w:rPr>
        <w:t xml:space="preserve"> </w:t>
      </w:r>
      <w:r w:rsidR="00F335BB" w:rsidRPr="00951EB6">
        <w:rPr>
          <w:rFonts w:ascii="Cambria" w:hAnsi="Cambria"/>
          <w:b/>
          <w:sz w:val="22"/>
          <w:szCs w:val="22"/>
        </w:rPr>
        <w:t>Remedies for victims</w:t>
      </w:r>
    </w:p>
    <w:p w14:paraId="069A30F8" w14:textId="7B934B4B" w:rsidR="00A27698" w:rsidRPr="00951EB6" w:rsidRDefault="00130B0C" w:rsidP="00B25484">
      <w:pPr>
        <w:ind w:right="-180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Aid agencies</w:t>
      </w:r>
      <w:r w:rsidR="00247B9D" w:rsidRPr="00951EB6">
        <w:rPr>
          <w:rFonts w:ascii="Cambria" w:eastAsia="Times New Roman" w:hAnsi="Cambria"/>
          <w:sz w:val="22"/>
          <w:szCs w:val="22"/>
        </w:rPr>
        <w:t xml:space="preserve"> must adopt an effective and comprehensive approach to remedies that </w:t>
      </w:r>
      <w:r w:rsidR="00A60A1A">
        <w:rPr>
          <w:rFonts w:ascii="Cambria" w:eastAsia="Times New Roman" w:hAnsi="Cambria"/>
          <w:sz w:val="22"/>
          <w:szCs w:val="22"/>
        </w:rPr>
        <w:t xml:space="preserve">is </w:t>
      </w:r>
      <w:r w:rsidR="00EE3C0F">
        <w:rPr>
          <w:rFonts w:ascii="Cambria" w:eastAsia="Times New Roman" w:hAnsi="Cambria"/>
          <w:sz w:val="22"/>
          <w:szCs w:val="22"/>
        </w:rPr>
        <w:t xml:space="preserve">transparent, </w:t>
      </w:r>
      <w:r w:rsidR="00A60A1A">
        <w:rPr>
          <w:rFonts w:ascii="Cambria" w:eastAsia="Times New Roman" w:hAnsi="Cambria"/>
          <w:sz w:val="22"/>
          <w:szCs w:val="22"/>
        </w:rPr>
        <w:t xml:space="preserve">culturally appropriate, tailored to the harm that has been suffered, and </w:t>
      </w:r>
      <w:r w:rsidR="00247B9D" w:rsidRPr="00951EB6">
        <w:rPr>
          <w:rFonts w:ascii="Cambria" w:eastAsia="Times New Roman" w:hAnsi="Cambria"/>
          <w:sz w:val="22"/>
          <w:szCs w:val="22"/>
        </w:rPr>
        <w:t>meets the needs of individual victims and communities under different circ</w:t>
      </w:r>
      <w:r w:rsidR="00D7287F">
        <w:rPr>
          <w:rFonts w:ascii="Cambria" w:eastAsia="Times New Roman" w:hAnsi="Cambria"/>
          <w:sz w:val="22"/>
          <w:szCs w:val="22"/>
        </w:rPr>
        <w:t>umstances. </w:t>
      </w:r>
      <w:r w:rsidR="00EE3C0F">
        <w:rPr>
          <w:rFonts w:ascii="Cambria" w:eastAsia="Times New Roman" w:hAnsi="Cambria"/>
          <w:sz w:val="22"/>
          <w:szCs w:val="22"/>
        </w:rPr>
        <w:t xml:space="preserve">Remedies may include, </w:t>
      </w:r>
      <w:r w:rsidR="00247B9D" w:rsidRPr="00951EB6">
        <w:rPr>
          <w:rFonts w:ascii="Cambria" w:eastAsia="Times New Roman" w:hAnsi="Cambria"/>
          <w:sz w:val="22"/>
          <w:szCs w:val="22"/>
        </w:rPr>
        <w:t xml:space="preserve">but </w:t>
      </w:r>
      <w:r w:rsidR="00EE3C0F">
        <w:rPr>
          <w:rFonts w:ascii="Cambria" w:eastAsia="Times New Roman" w:hAnsi="Cambria"/>
          <w:sz w:val="22"/>
          <w:szCs w:val="22"/>
        </w:rPr>
        <w:t xml:space="preserve">are </w:t>
      </w:r>
      <w:r w:rsidR="00247B9D" w:rsidRPr="00951EB6">
        <w:rPr>
          <w:rFonts w:ascii="Cambria" w:eastAsia="Times New Roman" w:hAnsi="Cambria"/>
          <w:sz w:val="22"/>
          <w:szCs w:val="22"/>
        </w:rPr>
        <w:t>not limited to</w:t>
      </w:r>
      <w:r w:rsidR="00EE3C0F">
        <w:rPr>
          <w:rFonts w:ascii="Cambria" w:eastAsia="Times New Roman" w:hAnsi="Cambria"/>
          <w:sz w:val="22"/>
          <w:szCs w:val="22"/>
        </w:rPr>
        <w:t>,</w:t>
      </w:r>
      <w:r w:rsidR="00247B9D" w:rsidRPr="00951EB6">
        <w:rPr>
          <w:rFonts w:ascii="Cambria" w:eastAsia="Times New Roman" w:hAnsi="Cambria"/>
          <w:sz w:val="22"/>
          <w:szCs w:val="22"/>
        </w:rPr>
        <w:t xml:space="preserve"> protection, internal discipline or termination of employment</w:t>
      </w:r>
      <w:r>
        <w:rPr>
          <w:rFonts w:ascii="Cambria" w:eastAsia="Times New Roman" w:hAnsi="Cambria"/>
          <w:sz w:val="22"/>
          <w:szCs w:val="22"/>
        </w:rPr>
        <w:t xml:space="preserve"> of the perpetrator</w:t>
      </w:r>
      <w:r w:rsidR="00247B9D" w:rsidRPr="00951EB6">
        <w:rPr>
          <w:rFonts w:ascii="Cambria" w:eastAsia="Times New Roman" w:hAnsi="Cambria"/>
          <w:sz w:val="22"/>
          <w:szCs w:val="22"/>
        </w:rPr>
        <w:t xml:space="preserve">, </w:t>
      </w:r>
      <w:r w:rsidR="006E5E48">
        <w:rPr>
          <w:rFonts w:ascii="Cambria" w:eastAsia="Times New Roman" w:hAnsi="Cambria"/>
          <w:sz w:val="22"/>
          <w:szCs w:val="22"/>
        </w:rPr>
        <w:t>compensation</w:t>
      </w:r>
      <w:r w:rsidR="00247B9D" w:rsidRPr="00951EB6">
        <w:rPr>
          <w:rFonts w:ascii="Cambria" w:eastAsia="Times New Roman" w:hAnsi="Cambria"/>
          <w:sz w:val="22"/>
          <w:szCs w:val="22"/>
        </w:rPr>
        <w:t xml:space="preserve">, judicial accountability, arbitration, and reconciliation. </w:t>
      </w:r>
      <w:r>
        <w:rPr>
          <w:rFonts w:ascii="Cambria" w:eastAsia="Times New Roman" w:hAnsi="Cambria"/>
          <w:sz w:val="22"/>
          <w:szCs w:val="22"/>
        </w:rPr>
        <w:t>Complainants</w:t>
      </w:r>
      <w:r w:rsidR="00C966F8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impregnated by the perpetrator should have legal support to obtain child support orders.</w:t>
      </w:r>
      <w:r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</w:t>
      </w:r>
      <w:r w:rsidR="001B76E4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Feedback mechanisms should be designed to respond to complaints</w:t>
      </w:r>
      <w:r w:rsidR="00A30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</w:t>
      </w:r>
      <w:r w:rsidR="00647B42" w:rsidRPr="00A30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of failure</w:t>
      </w:r>
      <w:r w:rsidR="00BE60C8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s</w:t>
      </w:r>
      <w:r w:rsidR="00A30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</w:t>
      </w:r>
      <w:r w:rsidR="00647B42" w:rsidRPr="00A30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in aid delivery</w:t>
      </w:r>
      <w:r w:rsidR="00A30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that </w:t>
      </w:r>
      <w:r w:rsidR="001B76E4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do not rise to the level of tortious</w:t>
      </w:r>
      <w:r w:rsidR="00A30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conduct</w:t>
      </w:r>
      <w:r w:rsidR="001B76E4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. </w:t>
      </w:r>
    </w:p>
    <w:p w14:paraId="26A4185E" w14:textId="77777777" w:rsidR="001003CA" w:rsidRDefault="001003CA" w:rsidP="00B25484">
      <w:pPr>
        <w:ind w:right="-180"/>
        <w:jc w:val="both"/>
        <w:rPr>
          <w:rFonts w:ascii="Cambria" w:hAnsi="Cambria"/>
          <w:b/>
          <w:sz w:val="22"/>
          <w:szCs w:val="22"/>
        </w:rPr>
      </w:pPr>
    </w:p>
    <w:p w14:paraId="4CB7E356" w14:textId="7862194D" w:rsidR="00F335BB" w:rsidRPr="00951EB6" w:rsidRDefault="00C127CC" w:rsidP="00B25484">
      <w:pPr>
        <w:ind w:right="-180"/>
        <w:jc w:val="both"/>
        <w:rPr>
          <w:rFonts w:ascii="Cambria" w:hAnsi="Cambria"/>
          <w:sz w:val="22"/>
          <w:szCs w:val="22"/>
        </w:rPr>
      </w:pPr>
      <w:r w:rsidRPr="00951EB6">
        <w:rPr>
          <w:rFonts w:ascii="Cambria" w:hAnsi="Cambria"/>
          <w:b/>
          <w:sz w:val="22"/>
          <w:szCs w:val="22"/>
        </w:rPr>
        <w:t>7</w:t>
      </w:r>
      <w:r w:rsidR="00F335BB" w:rsidRPr="00951EB6">
        <w:rPr>
          <w:rFonts w:ascii="Cambria" w:hAnsi="Cambria"/>
          <w:b/>
          <w:sz w:val="22"/>
          <w:szCs w:val="22"/>
        </w:rPr>
        <w:t>.</w:t>
      </w:r>
      <w:r w:rsidRPr="00951EB6">
        <w:rPr>
          <w:rFonts w:ascii="Cambria" w:hAnsi="Cambria"/>
          <w:b/>
          <w:sz w:val="22"/>
          <w:szCs w:val="22"/>
        </w:rPr>
        <w:t xml:space="preserve">  </w:t>
      </w:r>
      <w:r w:rsidR="00F335BB" w:rsidRPr="00951EB6">
        <w:rPr>
          <w:rFonts w:ascii="Cambria" w:hAnsi="Cambria"/>
          <w:b/>
          <w:sz w:val="22"/>
          <w:szCs w:val="22"/>
        </w:rPr>
        <w:t>Non-discrimination</w:t>
      </w:r>
    </w:p>
    <w:p w14:paraId="459944DD" w14:textId="436B672B" w:rsidR="00F335BB" w:rsidRPr="00951EB6" w:rsidRDefault="00A77B5B" w:rsidP="00B25484">
      <w:pPr>
        <w:ind w:right="-180"/>
        <w:jc w:val="both"/>
        <w:rPr>
          <w:rFonts w:ascii="Cambria" w:hAnsi="Cambria"/>
          <w:sz w:val="22"/>
          <w:szCs w:val="22"/>
        </w:rPr>
      </w:pPr>
      <w:r w:rsidRPr="00951EB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Complaint procedures and investigations should </w:t>
      </w:r>
      <w:r w:rsidR="00F335BB" w:rsidRPr="00951EB6">
        <w:rPr>
          <w:rFonts w:ascii="Cambria" w:hAnsi="Cambria"/>
          <w:sz w:val="22"/>
          <w:szCs w:val="22"/>
        </w:rPr>
        <w:t>not directly or indirectly discriminate against vulnerable populations, such as aid beneficiaries, women, children, the elderly or LGBT</w:t>
      </w:r>
      <w:r w:rsidR="00BE60C8">
        <w:rPr>
          <w:rFonts w:ascii="Cambria" w:hAnsi="Cambria"/>
          <w:sz w:val="22"/>
          <w:szCs w:val="22"/>
        </w:rPr>
        <w:t>Q</w:t>
      </w:r>
      <w:r w:rsidR="00F335BB" w:rsidRPr="00951EB6">
        <w:rPr>
          <w:rFonts w:ascii="Cambria" w:hAnsi="Cambria"/>
          <w:sz w:val="22"/>
          <w:szCs w:val="22"/>
        </w:rPr>
        <w:t xml:space="preserve"> individuals</w:t>
      </w:r>
      <w:r w:rsidRPr="00951EB6">
        <w:rPr>
          <w:rFonts w:ascii="Cambria" w:hAnsi="Cambria"/>
          <w:sz w:val="22"/>
          <w:szCs w:val="22"/>
        </w:rPr>
        <w:t>, or those without legal status in the host country</w:t>
      </w:r>
      <w:r w:rsidR="00F335BB" w:rsidRPr="00951EB6">
        <w:rPr>
          <w:rFonts w:ascii="Cambria" w:hAnsi="Cambria"/>
          <w:sz w:val="22"/>
          <w:szCs w:val="22"/>
        </w:rPr>
        <w:t>.</w:t>
      </w:r>
      <w:r w:rsidR="00731335">
        <w:rPr>
          <w:rFonts w:ascii="Cambria" w:hAnsi="Cambria"/>
          <w:sz w:val="22"/>
          <w:szCs w:val="22"/>
        </w:rPr>
        <w:t xml:space="preserve"> Complaints should be treated the same regardless of whether the complainant or the alleged perpetrator is a local or foreign national</w:t>
      </w:r>
      <w:r w:rsidR="00F335BB" w:rsidRPr="00951EB6">
        <w:rPr>
          <w:rFonts w:ascii="Cambria" w:hAnsi="Cambria"/>
          <w:sz w:val="22"/>
          <w:szCs w:val="22"/>
        </w:rPr>
        <w:t>.</w:t>
      </w:r>
      <w:r w:rsidR="008C0DE7" w:rsidRPr="00951EB6">
        <w:rPr>
          <w:rFonts w:ascii="Cambria" w:hAnsi="Cambria"/>
          <w:sz w:val="22"/>
          <w:szCs w:val="22"/>
        </w:rPr>
        <w:t xml:space="preserve"> </w:t>
      </w:r>
      <w:r w:rsidR="008C0DE7" w:rsidRPr="00951EB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Promoting w</w:t>
      </w:r>
      <w:r w:rsidR="008C0DE7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omen </w:t>
      </w:r>
      <w:r w:rsidR="008C0DE7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lastRenderedPageBreak/>
        <w:t xml:space="preserve">and </w:t>
      </w:r>
      <w:r w:rsidR="00731335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members of </w:t>
      </w:r>
      <w:r w:rsidR="008C0DE7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other groups at risk of exploitation to key positions</w:t>
      </w:r>
      <w:r w:rsidR="008C0DE7" w:rsidRPr="00951EB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will help eliminate discriminatory practices in policy-making </w:t>
      </w:r>
      <w:r w:rsidR="008C0DE7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and program</w:t>
      </w:r>
      <w:r w:rsidR="008C0DE7" w:rsidRPr="00951EB6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 xml:space="preserve"> implementation</w:t>
      </w:r>
      <w:r w:rsidR="008C0DE7" w:rsidRPr="00A15870"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  <w:t>.</w:t>
      </w:r>
    </w:p>
    <w:p w14:paraId="5C1EC3EE" w14:textId="06E3FF89" w:rsidR="00E43065" w:rsidRPr="00951EB6" w:rsidRDefault="00E43065" w:rsidP="00B25484">
      <w:pPr>
        <w:ind w:right="-180"/>
        <w:jc w:val="both"/>
        <w:rPr>
          <w:rFonts w:ascii="Cambria" w:hAnsi="Cambria"/>
          <w:sz w:val="22"/>
          <w:szCs w:val="22"/>
        </w:rPr>
      </w:pPr>
    </w:p>
    <w:p w14:paraId="58D999DF" w14:textId="77777777" w:rsidR="00F335BB" w:rsidRPr="00951EB6" w:rsidRDefault="00F335BB" w:rsidP="00B25484">
      <w:pPr>
        <w:ind w:right="-180"/>
        <w:jc w:val="both"/>
        <w:rPr>
          <w:rFonts w:ascii="Cambria" w:hAnsi="Cambria"/>
          <w:sz w:val="22"/>
          <w:szCs w:val="22"/>
        </w:rPr>
      </w:pPr>
    </w:p>
    <w:p w14:paraId="6CAB909F" w14:textId="77777777" w:rsidR="00A44032" w:rsidRDefault="00A44032" w:rsidP="00B25484">
      <w:pPr>
        <w:ind w:right="-180"/>
        <w:jc w:val="both"/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</w:pPr>
    </w:p>
    <w:p w14:paraId="0CD810DC" w14:textId="77777777" w:rsidR="00A44032" w:rsidRDefault="00A44032" w:rsidP="00B25484">
      <w:pPr>
        <w:ind w:right="-180"/>
        <w:jc w:val="both"/>
        <w:rPr>
          <w:rFonts w:ascii="Cambria" w:eastAsia="Times New Roman" w:hAnsi="Cambria" w:cs="Arial"/>
          <w:color w:val="222222"/>
          <w:sz w:val="22"/>
          <w:szCs w:val="22"/>
          <w:shd w:val="clear" w:color="auto" w:fill="FFFFFF"/>
        </w:rPr>
      </w:pPr>
    </w:p>
    <w:sectPr w:rsidR="00A44032" w:rsidSect="009B5E4C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11905" w14:textId="77777777" w:rsidR="0048776D" w:rsidRDefault="0048776D" w:rsidP="009569EF">
      <w:r>
        <w:separator/>
      </w:r>
    </w:p>
  </w:endnote>
  <w:endnote w:type="continuationSeparator" w:id="0">
    <w:p w14:paraId="57165C30" w14:textId="77777777" w:rsidR="0048776D" w:rsidRDefault="0048776D" w:rsidP="009569EF">
      <w:r>
        <w:continuationSeparator/>
      </w:r>
    </w:p>
  </w:endnote>
  <w:endnote w:id="1">
    <w:p w14:paraId="449377B2" w14:textId="397D7B58" w:rsidR="00FE580C" w:rsidRPr="002D1DEA" w:rsidRDefault="00B56CA3" w:rsidP="00FE580C">
      <w:pPr>
        <w:rPr>
          <w:rFonts w:ascii="Cambria" w:eastAsia="Times New Roman" w:hAnsi="Cambria"/>
          <w:sz w:val="22"/>
          <w:szCs w:val="22"/>
        </w:rPr>
      </w:pPr>
      <w:r w:rsidRPr="002D1DEA">
        <w:rPr>
          <w:rStyle w:val="EndnoteReference"/>
          <w:sz w:val="22"/>
          <w:szCs w:val="22"/>
        </w:rPr>
        <w:endnoteRef/>
      </w:r>
      <w:r w:rsidRPr="002D1DEA">
        <w:rPr>
          <w:sz w:val="22"/>
          <w:szCs w:val="22"/>
        </w:rPr>
        <w:t xml:space="preserve"> </w:t>
      </w:r>
      <w:r w:rsidR="00FE580C" w:rsidRPr="002D1DEA">
        <w:rPr>
          <w:rFonts w:ascii="Cambria" w:hAnsi="Cambria"/>
          <w:sz w:val="22"/>
          <w:szCs w:val="22"/>
        </w:rPr>
        <w:t xml:space="preserve">See, for example, </w:t>
      </w:r>
      <w:hyperlink r:id="rId1" w:history="1">
        <w:r w:rsidR="00FE580C" w:rsidRPr="002161B9">
          <w:rPr>
            <w:rStyle w:val="Hyperlink"/>
            <w:rFonts w:ascii="Cambria" w:hAnsi="Cambria"/>
            <w:sz w:val="22"/>
            <w:szCs w:val="22"/>
          </w:rPr>
          <w:t>Best Practice Guide, Inter-Agency Community Based Complaint Mechanisms, Protection Against Sex</w:t>
        </w:r>
        <w:r w:rsidR="00FE580C">
          <w:rPr>
            <w:rStyle w:val="Hyperlink"/>
            <w:rFonts w:ascii="Cambria" w:hAnsi="Cambria"/>
            <w:sz w:val="22"/>
            <w:szCs w:val="22"/>
          </w:rPr>
          <w:t>ual Exploitation and Abuse (2016</w:t>
        </w:r>
        <w:r w:rsidR="00FE580C" w:rsidRPr="002161B9">
          <w:rPr>
            <w:rStyle w:val="Hyperlink"/>
            <w:rFonts w:ascii="Cambria" w:hAnsi="Cambria"/>
            <w:sz w:val="22"/>
            <w:szCs w:val="22"/>
          </w:rPr>
          <w:t>)</w:t>
        </w:r>
      </w:hyperlink>
      <w:r w:rsidR="00FE580C">
        <w:rPr>
          <w:rFonts w:ascii="Cambria" w:hAnsi="Cambria"/>
          <w:sz w:val="22"/>
          <w:szCs w:val="22"/>
        </w:rPr>
        <w:t xml:space="preserve">; ; </w:t>
      </w:r>
      <w:hyperlink r:id="rId2" w:history="1">
        <w:r w:rsidR="00FE580C" w:rsidRPr="002C086E">
          <w:rPr>
            <w:rStyle w:val="Hyperlink"/>
            <w:rFonts w:ascii="Cambria" w:hAnsi="Cambria"/>
            <w:sz w:val="22"/>
            <w:szCs w:val="22"/>
          </w:rPr>
          <w:t>Inter-Agency Standing Committee, Guidelines to Implement the Minimum Operating Standards for PSEA (2013)</w:t>
        </w:r>
      </w:hyperlink>
      <w:r w:rsidR="00FE580C">
        <w:rPr>
          <w:rFonts w:ascii="Cambria" w:hAnsi="Cambria"/>
          <w:sz w:val="22"/>
          <w:szCs w:val="22"/>
        </w:rPr>
        <w:t xml:space="preserve">; </w:t>
      </w:r>
      <w:hyperlink r:id="rId3" w:history="1">
        <w:r w:rsidR="00FE580C" w:rsidRPr="002161B9">
          <w:rPr>
            <w:rStyle w:val="Hyperlink"/>
            <w:rFonts w:ascii="Cambria" w:eastAsia="Times New Roman" w:hAnsi="Cambria" w:cs="Arial"/>
            <w:sz w:val="22"/>
            <w:szCs w:val="22"/>
          </w:rPr>
          <w:t>UN Guiding Principles on Business and Human Right</w:t>
        </w:r>
        <w:r w:rsidR="00FE580C">
          <w:rPr>
            <w:rStyle w:val="Hyperlink"/>
            <w:rFonts w:ascii="Cambria" w:eastAsia="Times New Roman" w:hAnsi="Cambria" w:cs="Arial"/>
            <w:sz w:val="22"/>
            <w:szCs w:val="22"/>
          </w:rPr>
          <w:t>s (2011)</w:t>
        </w:r>
      </w:hyperlink>
      <w:r w:rsidR="00FE580C">
        <w:rPr>
          <w:rFonts w:ascii="Cambria" w:eastAsia="Times New Roman" w:hAnsi="Cambria" w:cs="Arial"/>
          <w:sz w:val="22"/>
          <w:szCs w:val="22"/>
        </w:rPr>
        <w:t xml:space="preserve">; </w:t>
      </w:r>
      <w:hyperlink r:id="rId4" w:history="1">
        <w:r w:rsidR="00FE580C" w:rsidRPr="002161B9">
          <w:rPr>
            <w:rStyle w:val="Hyperlink"/>
            <w:rFonts w:ascii="Cambria" w:hAnsi="Cambria"/>
            <w:sz w:val="22"/>
            <w:szCs w:val="22"/>
          </w:rPr>
          <w:t>Guidelines For Setting Up a Community Based Complaints Mechanism Regarding Sexual Exploitation and Abuse By UN and non-UN Personnel (2009)</w:t>
        </w:r>
      </w:hyperlink>
      <w:r w:rsidR="00FE580C">
        <w:rPr>
          <w:rFonts w:ascii="Cambria" w:hAnsi="Cambria"/>
          <w:sz w:val="22"/>
          <w:szCs w:val="22"/>
        </w:rPr>
        <w:t>;</w:t>
      </w:r>
      <w:r w:rsidR="00FE580C" w:rsidRPr="002D1DEA">
        <w:rPr>
          <w:rFonts w:ascii="Cambria" w:eastAsia="Times New Roman" w:hAnsi="Cambria" w:cs="Arial"/>
          <w:sz w:val="22"/>
          <w:szCs w:val="22"/>
        </w:rPr>
        <w:t xml:space="preserve"> </w:t>
      </w:r>
      <w:r w:rsidR="00FE580C" w:rsidRPr="002D1DEA">
        <w:rPr>
          <w:rFonts w:ascii="Cambria" w:eastAsia="Times New Roman" w:hAnsi="Cambria"/>
          <w:sz w:val="22"/>
          <w:szCs w:val="22"/>
        </w:rPr>
        <w:t xml:space="preserve">United Nations Secretariat, “Special measures for protection from sexual exploitation and sexual abuse”, </w:t>
      </w:r>
      <w:hyperlink r:id="rId5" w:history="1">
        <w:r w:rsidR="00FE580C" w:rsidRPr="002161B9">
          <w:rPr>
            <w:rStyle w:val="Hyperlink"/>
            <w:rFonts w:ascii="Cambria" w:eastAsia="Times New Roman" w:hAnsi="Cambria"/>
            <w:i/>
            <w:sz w:val="22"/>
            <w:szCs w:val="22"/>
          </w:rPr>
          <w:t xml:space="preserve">United Nations, </w:t>
        </w:r>
        <w:r w:rsidR="00FE580C" w:rsidRPr="002161B9">
          <w:rPr>
            <w:rStyle w:val="Hyperlink"/>
            <w:rFonts w:ascii="Cambria" w:eastAsia="Times New Roman" w:hAnsi="Cambria"/>
            <w:sz w:val="22"/>
            <w:szCs w:val="22"/>
          </w:rPr>
          <w:t>ST/SGB/2003/13, Oct. 9, 2003</w:t>
        </w:r>
      </w:hyperlink>
      <w:r w:rsidR="00FE580C" w:rsidRPr="002D1DEA">
        <w:rPr>
          <w:rFonts w:ascii="Cambria" w:eastAsia="Times New Roman" w:hAnsi="Cambria"/>
          <w:sz w:val="22"/>
          <w:szCs w:val="22"/>
        </w:rPr>
        <w:t>,</w:t>
      </w:r>
      <w:r w:rsidR="00FE580C" w:rsidRPr="002D1DEA">
        <w:rPr>
          <w:rFonts w:ascii="Cambria" w:eastAsia="Times New Roman" w:hAnsi="Cambria" w:cs="Arial"/>
          <w:sz w:val="22"/>
          <w:szCs w:val="22"/>
        </w:rPr>
        <w:t xml:space="preserve"> among others. </w:t>
      </w:r>
    </w:p>
    <w:p w14:paraId="33D68DD3" w14:textId="44EFF4E9" w:rsidR="00B56CA3" w:rsidRPr="002D1DEA" w:rsidRDefault="00B56CA3" w:rsidP="002D1DEA">
      <w:pPr>
        <w:rPr>
          <w:rFonts w:ascii="Cambria" w:eastAsia="Times New Roman" w:hAnsi="Cambria"/>
          <w:sz w:val="22"/>
          <w:szCs w:val="22"/>
        </w:rPr>
      </w:pPr>
    </w:p>
    <w:p w14:paraId="7369B696" w14:textId="2E70AE2C" w:rsidR="00B56CA3" w:rsidRDefault="00B56CA3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9846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9235DE" w14:textId="342CF0FD" w:rsidR="0038322D" w:rsidRDefault="003832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2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76CBF3" w14:textId="77777777" w:rsidR="00B56CA3" w:rsidRPr="004272F3" w:rsidRDefault="00B56CA3" w:rsidP="00A573B2">
    <w:pPr>
      <w:pStyle w:val="Footer"/>
      <w:jc w:val="center"/>
      <w:rPr>
        <w:color w:val="404040" w:themeColor="text1" w:themeTint="BF"/>
        <w:lang w:val="fr-FR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8BBD3" w14:textId="0AD722F3" w:rsidR="00B56CA3" w:rsidRPr="00D42A2F" w:rsidRDefault="00B56CA3" w:rsidP="00D42A2F">
    <w:pPr>
      <w:tabs>
        <w:tab w:val="num" w:pos="720"/>
      </w:tabs>
      <w:jc w:val="center"/>
    </w:pPr>
    <w:r w:rsidRPr="00C8798E">
      <w:rPr>
        <w:rFonts w:ascii="Helvetica Neue" w:hAnsi="Helvetica Neue" w:cs="Arial"/>
        <w:color w:val="262626"/>
        <w:sz w:val="20"/>
        <w:szCs w:val="30"/>
      </w:rPr>
      <w:t>1</w:t>
    </w:r>
    <w:r w:rsidRPr="00E76A7B">
      <w:rPr>
        <w:rFonts w:ascii="Helvetica Neue" w:hAnsi="Helvetica Neue" w:cs="Arial"/>
        <w:color w:val="262626"/>
        <w:sz w:val="20"/>
        <w:szCs w:val="30"/>
      </w:rPr>
      <w:t>5 Newbury S</w:t>
    </w:r>
    <w:r>
      <w:rPr>
        <w:rFonts w:ascii="Helvetica Neue" w:hAnsi="Helvetica Neue" w:cs="Arial"/>
        <w:color w:val="262626"/>
        <w:sz w:val="20"/>
        <w:szCs w:val="30"/>
      </w:rPr>
      <w:t>treet</w:t>
    </w:r>
    <w:r w:rsidRPr="00E76A7B">
      <w:rPr>
        <w:rFonts w:ascii="Helvetica Neue" w:hAnsi="Helvetica Neue" w:cs="Arial"/>
        <w:color w:val="262626"/>
        <w:sz w:val="20"/>
        <w:szCs w:val="30"/>
      </w:rPr>
      <w:t xml:space="preserve"> | Boston, MA 02</w:t>
    </w:r>
    <w:r>
      <w:rPr>
        <w:rFonts w:ascii="Helvetica Neue" w:hAnsi="Helvetica Neue" w:cs="Arial"/>
        <w:color w:val="262626"/>
        <w:sz w:val="20"/>
        <w:szCs w:val="30"/>
      </w:rPr>
      <w:t xml:space="preserve">116 </w:t>
    </w:r>
    <w:r w:rsidRPr="00E76A7B">
      <w:rPr>
        <w:rFonts w:ascii="Helvetica Neue" w:hAnsi="Helvetica Neue" w:cs="Arial"/>
        <w:color w:val="262626"/>
        <w:sz w:val="20"/>
        <w:szCs w:val="30"/>
      </w:rPr>
      <w:t xml:space="preserve">| (617) 652-0876 | </w:t>
    </w:r>
    <w:r>
      <w:rPr>
        <w:rFonts w:ascii="Helvetica Neue" w:hAnsi="Helvetica Neue" w:cs="Arial"/>
        <w:color w:val="262626"/>
        <w:sz w:val="20"/>
        <w:szCs w:val="30"/>
      </w:rPr>
      <w:t>brian</w:t>
    </w:r>
    <w:r w:rsidRPr="00E76A7B">
      <w:rPr>
        <w:rFonts w:ascii="Helvetica Neue" w:hAnsi="Helvetica Neue" w:cs="Arial"/>
        <w:color w:val="262626"/>
        <w:sz w:val="20"/>
        <w:szCs w:val="30"/>
      </w:rPr>
      <w:t>@ijdh.org | ijdh.org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DC265" w14:textId="77777777" w:rsidR="0048776D" w:rsidRDefault="0048776D" w:rsidP="009569EF">
      <w:r>
        <w:separator/>
      </w:r>
    </w:p>
  </w:footnote>
  <w:footnote w:type="continuationSeparator" w:id="0">
    <w:p w14:paraId="2F497AE9" w14:textId="77777777" w:rsidR="0048776D" w:rsidRDefault="0048776D" w:rsidP="009569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0CA37" w14:textId="77777777" w:rsidR="00B56CA3" w:rsidRDefault="00B56CA3" w:rsidP="009B5E4C">
    <w:pPr>
      <w:pStyle w:val="Header"/>
      <w:tabs>
        <w:tab w:val="clear" w:pos="4320"/>
        <w:tab w:val="clear" w:pos="8640"/>
        <w:tab w:val="left" w:pos="860"/>
      </w:tabs>
      <w:ind w:left="-1530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89A62" w14:textId="77777777" w:rsidR="00B56CA3" w:rsidRDefault="00B56CA3" w:rsidP="009B5E4C">
    <w:pPr>
      <w:pStyle w:val="Header"/>
      <w:jc w:val="center"/>
    </w:pPr>
    <w:r>
      <w:rPr>
        <w:noProof/>
      </w:rPr>
      <w:drawing>
        <wp:inline distT="0" distB="0" distL="0" distR="0" wp14:anchorId="5B3C9706" wp14:editId="3E7A99AC">
          <wp:extent cx="2273300" cy="8524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8524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B4E7D"/>
    <w:multiLevelType w:val="hybridMultilevel"/>
    <w:tmpl w:val="B19E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17D49"/>
    <w:multiLevelType w:val="multilevel"/>
    <w:tmpl w:val="3CBEB18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805C3"/>
    <w:multiLevelType w:val="multilevel"/>
    <w:tmpl w:val="8A9C189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732C2"/>
    <w:multiLevelType w:val="multilevel"/>
    <w:tmpl w:val="E850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412833"/>
    <w:multiLevelType w:val="multilevel"/>
    <w:tmpl w:val="C42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A8"/>
    <w:rsid w:val="00010DA4"/>
    <w:rsid w:val="00012026"/>
    <w:rsid w:val="00017511"/>
    <w:rsid w:val="0002054C"/>
    <w:rsid w:val="00021272"/>
    <w:rsid w:val="00023E3A"/>
    <w:rsid w:val="00031908"/>
    <w:rsid w:val="00032C3A"/>
    <w:rsid w:val="000373A8"/>
    <w:rsid w:val="00043D65"/>
    <w:rsid w:val="0005507E"/>
    <w:rsid w:val="000554B1"/>
    <w:rsid w:val="0005606E"/>
    <w:rsid w:val="00056B0E"/>
    <w:rsid w:val="00057D0D"/>
    <w:rsid w:val="00063B07"/>
    <w:rsid w:val="000712D8"/>
    <w:rsid w:val="0007393A"/>
    <w:rsid w:val="0007444F"/>
    <w:rsid w:val="000776EB"/>
    <w:rsid w:val="0009151B"/>
    <w:rsid w:val="00094C98"/>
    <w:rsid w:val="00097FA7"/>
    <w:rsid w:val="000A7875"/>
    <w:rsid w:val="000C000C"/>
    <w:rsid w:val="000C093B"/>
    <w:rsid w:val="000C2729"/>
    <w:rsid w:val="000D5A20"/>
    <w:rsid w:val="000D7916"/>
    <w:rsid w:val="000E3526"/>
    <w:rsid w:val="000F158B"/>
    <w:rsid w:val="000F1A55"/>
    <w:rsid w:val="001003CA"/>
    <w:rsid w:val="00103956"/>
    <w:rsid w:val="00111F60"/>
    <w:rsid w:val="00111FA6"/>
    <w:rsid w:val="00113C82"/>
    <w:rsid w:val="00113EE7"/>
    <w:rsid w:val="001148EE"/>
    <w:rsid w:val="001148FF"/>
    <w:rsid w:val="00124C96"/>
    <w:rsid w:val="0012742B"/>
    <w:rsid w:val="00130B0C"/>
    <w:rsid w:val="001326F2"/>
    <w:rsid w:val="00132FDE"/>
    <w:rsid w:val="0014242C"/>
    <w:rsid w:val="00143D02"/>
    <w:rsid w:val="0015102D"/>
    <w:rsid w:val="00154E6E"/>
    <w:rsid w:val="00161D54"/>
    <w:rsid w:val="00181B71"/>
    <w:rsid w:val="00183109"/>
    <w:rsid w:val="00187696"/>
    <w:rsid w:val="0019303A"/>
    <w:rsid w:val="00196010"/>
    <w:rsid w:val="001A2E92"/>
    <w:rsid w:val="001A55D6"/>
    <w:rsid w:val="001A7A33"/>
    <w:rsid w:val="001B5C91"/>
    <w:rsid w:val="001B76E4"/>
    <w:rsid w:val="001C5684"/>
    <w:rsid w:val="001C5870"/>
    <w:rsid w:val="001D37FB"/>
    <w:rsid w:val="001F0D23"/>
    <w:rsid w:val="001F4748"/>
    <w:rsid w:val="001F53DC"/>
    <w:rsid w:val="001F6609"/>
    <w:rsid w:val="00216DCE"/>
    <w:rsid w:val="00234942"/>
    <w:rsid w:val="00241548"/>
    <w:rsid w:val="00242345"/>
    <w:rsid w:val="00247B9D"/>
    <w:rsid w:val="002604CC"/>
    <w:rsid w:val="00281BBF"/>
    <w:rsid w:val="00282B2C"/>
    <w:rsid w:val="00285EF4"/>
    <w:rsid w:val="00291575"/>
    <w:rsid w:val="00294891"/>
    <w:rsid w:val="00295EAA"/>
    <w:rsid w:val="002A0969"/>
    <w:rsid w:val="002A1490"/>
    <w:rsid w:val="002A3CCF"/>
    <w:rsid w:val="002A666E"/>
    <w:rsid w:val="002B12AA"/>
    <w:rsid w:val="002B32BF"/>
    <w:rsid w:val="002B64A2"/>
    <w:rsid w:val="002B7B9B"/>
    <w:rsid w:val="002C25AF"/>
    <w:rsid w:val="002C4D4B"/>
    <w:rsid w:val="002D1DEA"/>
    <w:rsid w:val="002D599A"/>
    <w:rsid w:val="002E21F5"/>
    <w:rsid w:val="002E703F"/>
    <w:rsid w:val="002E7DC3"/>
    <w:rsid w:val="002F5F94"/>
    <w:rsid w:val="002F62B2"/>
    <w:rsid w:val="00306E90"/>
    <w:rsid w:val="00312DA6"/>
    <w:rsid w:val="0033245D"/>
    <w:rsid w:val="00334ED3"/>
    <w:rsid w:val="00340FF9"/>
    <w:rsid w:val="0034648A"/>
    <w:rsid w:val="00351D14"/>
    <w:rsid w:val="00352FF7"/>
    <w:rsid w:val="00366A80"/>
    <w:rsid w:val="003730C6"/>
    <w:rsid w:val="00374E9D"/>
    <w:rsid w:val="003819D6"/>
    <w:rsid w:val="00381B2B"/>
    <w:rsid w:val="0038322D"/>
    <w:rsid w:val="003836C2"/>
    <w:rsid w:val="0038379E"/>
    <w:rsid w:val="00390C81"/>
    <w:rsid w:val="003927A7"/>
    <w:rsid w:val="003A523B"/>
    <w:rsid w:val="003A540C"/>
    <w:rsid w:val="003A6C53"/>
    <w:rsid w:val="003B7381"/>
    <w:rsid w:val="003C6539"/>
    <w:rsid w:val="003C6C03"/>
    <w:rsid w:val="003D05A9"/>
    <w:rsid w:val="003D64A7"/>
    <w:rsid w:val="003D6AD1"/>
    <w:rsid w:val="003E1936"/>
    <w:rsid w:val="003E27DF"/>
    <w:rsid w:val="003E4090"/>
    <w:rsid w:val="003E73DC"/>
    <w:rsid w:val="003F1972"/>
    <w:rsid w:val="003F30B7"/>
    <w:rsid w:val="003F5C74"/>
    <w:rsid w:val="00401A11"/>
    <w:rsid w:val="00404B09"/>
    <w:rsid w:val="00404DD1"/>
    <w:rsid w:val="00405344"/>
    <w:rsid w:val="004061D4"/>
    <w:rsid w:val="00415D81"/>
    <w:rsid w:val="004166E5"/>
    <w:rsid w:val="004272F3"/>
    <w:rsid w:val="004274AC"/>
    <w:rsid w:val="00440873"/>
    <w:rsid w:val="004472C7"/>
    <w:rsid w:val="004472EC"/>
    <w:rsid w:val="0045309C"/>
    <w:rsid w:val="00462BB6"/>
    <w:rsid w:val="004655E7"/>
    <w:rsid w:val="00465AFA"/>
    <w:rsid w:val="00473104"/>
    <w:rsid w:val="004735B5"/>
    <w:rsid w:val="00477C76"/>
    <w:rsid w:val="0048776D"/>
    <w:rsid w:val="00490B3D"/>
    <w:rsid w:val="004A6992"/>
    <w:rsid w:val="004A6BCD"/>
    <w:rsid w:val="004B5208"/>
    <w:rsid w:val="004B5C4D"/>
    <w:rsid w:val="004C18EB"/>
    <w:rsid w:val="004C41BE"/>
    <w:rsid w:val="004C5C35"/>
    <w:rsid w:val="004E6039"/>
    <w:rsid w:val="004E6FFC"/>
    <w:rsid w:val="00500DA5"/>
    <w:rsid w:val="0050266B"/>
    <w:rsid w:val="005033E9"/>
    <w:rsid w:val="00524AF3"/>
    <w:rsid w:val="00527999"/>
    <w:rsid w:val="00555B04"/>
    <w:rsid w:val="00557226"/>
    <w:rsid w:val="0055775F"/>
    <w:rsid w:val="00561121"/>
    <w:rsid w:val="00563250"/>
    <w:rsid w:val="0057573E"/>
    <w:rsid w:val="00587A84"/>
    <w:rsid w:val="00594020"/>
    <w:rsid w:val="005A2696"/>
    <w:rsid w:val="005A4CBD"/>
    <w:rsid w:val="005B4996"/>
    <w:rsid w:val="005C2A51"/>
    <w:rsid w:val="005E150F"/>
    <w:rsid w:val="005E6DFB"/>
    <w:rsid w:val="005F39AA"/>
    <w:rsid w:val="005F6ECA"/>
    <w:rsid w:val="005F7107"/>
    <w:rsid w:val="00605022"/>
    <w:rsid w:val="00616013"/>
    <w:rsid w:val="00637795"/>
    <w:rsid w:val="00645689"/>
    <w:rsid w:val="00647B42"/>
    <w:rsid w:val="00647F21"/>
    <w:rsid w:val="00651053"/>
    <w:rsid w:val="0065322B"/>
    <w:rsid w:val="00654ED0"/>
    <w:rsid w:val="00655732"/>
    <w:rsid w:val="00656987"/>
    <w:rsid w:val="00661B98"/>
    <w:rsid w:val="00662004"/>
    <w:rsid w:val="006629E2"/>
    <w:rsid w:val="0067363B"/>
    <w:rsid w:val="006740C8"/>
    <w:rsid w:val="006815BE"/>
    <w:rsid w:val="00684BD4"/>
    <w:rsid w:val="0069642A"/>
    <w:rsid w:val="006A21A6"/>
    <w:rsid w:val="006A32C0"/>
    <w:rsid w:val="006C1599"/>
    <w:rsid w:val="006C2658"/>
    <w:rsid w:val="006C56F5"/>
    <w:rsid w:val="006D4F04"/>
    <w:rsid w:val="006D68ED"/>
    <w:rsid w:val="006E5E48"/>
    <w:rsid w:val="006F62D1"/>
    <w:rsid w:val="006F6A6D"/>
    <w:rsid w:val="0070155E"/>
    <w:rsid w:val="007146DB"/>
    <w:rsid w:val="00731335"/>
    <w:rsid w:val="007315BC"/>
    <w:rsid w:val="00732C4E"/>
    <w:rsid w:val="00733AA0"/>
    <w:rsid w:val="0073418B"/>
    <w:rsid w:val="00743A8D"/>
    <w:rsid w:val="00744701"/>
    <w:rsid w:val="00745DCC"/>
    <w:rsid w:val="0074616E"/>
    <w:rsid w:val="00752AF5"/>
    <w:rsid w:val="00755BDB"/>
    <w:rsid w:val="00764DC0"/>
    <w:rsid w:val="0078211B"/>
    <w:rsid w:val="007830FC"/>
    <w:rsid w:val="00783C9E"/>
    <w:rsid w:val="007951CE"/>
    <w:rsid w:val="007A059B"/>
    <w:rsid w:val="007B7BC8"/>
    <w:rsid w:val="007C10E2"/>
    <w:rsid w:val="007D4CE6"/>
    <w:rsid w:val="007E18DC"/>
    <w:rsid w:val="007F0F99"/>
    <w:rsid w:val="007F3726"/>
    <w:rsid w:val="007F38F5"/>
    <w:rsid w:val="00830747"/>
    <w:rsid w:val="00852BA2"/>
    <w:rsid w:val="0087253F"/>
    <w:rsid w:val="00881787"/>
    <w:rsid w:val="00882818"/>
    <w:rsid w:val="0088590D"/>
    <w:rsid w:val="008973CD"/>
    <w:rsid w:val="00897890"/>
    <w:rsid w:val="008A1AC0"/>
    <w:rsid w:val="008A39F6"/>
    <w:rsid w:val="008B0591"/>
    <w:rsid w:val="008B1285"/>
    <w:rsid w:val="008C0DE7"/>
    <w:rsid w:val="008C2318"/>
    <w:rsid w:val="008C4552"/>
    <w:rsid w:val="008D19C9"/>
    <w:rsid w:val="008D5035"/>
    <w:rsid w:val="008D509F"/>
    <w:rsid w:val="008E36ED"/>
    <w:rsid w:val="008E5A71"/>
    <w:rsid w:val="008F3E5E"/>
    <w:rsid w:val="008F49EB"/>
    <w:rsid w:val="0090081D"/>
    <w:rsid w:val="00902963"/>
    <w:rsid w:val="00915732"/>
    <w:rsid w:val="0091573E"/>
    <w:rsid w:val="009162F1"/>
    <w:rsid w:val="009200FC"/>
    <w:rsid w:val="0093019D"/>
    <w:rsid w:val="009348CD"/>
    <w:rsid w:val="0093716A"/>
    <w:rsid w:val="00937427"/>
    <w:rsid w:val="00937735"/>
    <w:rsid w:val="00951EB6"/>
    <w:rsid w:val="00955E5A"/>
    <w:rsid w:val="009569EF"/>
    <w:rsid w:val="009603C8"/>
    <w:rsid w:val="00973CD2"/>
    <w:rsid w:val="009829C6"/>
    <w:rsid w:val="009838C0"/>
    <w:rsid w:val="009A6833"/>
    <w:rsid w:val="009B1C70"/>
    <w:rsid w:val="009B1E48"/>
    <w:rsid w:val="009B5E4C"/>
    <w:rsid w:val="009B6957"/>
    <w:rsid w:val="009C6367"/>
    <w:rsid w:val="009D161C"/>
    <w:rsid w:val="009D529C"/>
    <w:rsid w:val="009E2E95"/>
    <w:rsid w:val="009E788A"/>
    <w:rsid w:val="009F0979"/>
    <w:rsid w:val="009F0CD6"/>
    <w:rsid w:val="009F3202"/>
    <w:rsid w:val="009F36BF"/>
    <w:rsid w:val="00A060FF"/>
    <w:rsid w:val="00A06836"/>
    <w:rsid w:val="00A246EE"/>
    <w:rsid w:val="00A27698"/>
    <w:rsid w:val="00A27B90"/>
    <w:rsid w:val="00A30870"/>
    <w:rsid w:val="00A34627"/>
    <w:rsid w:val="00A37F69"/>
    <w:rsid w:val="00A44032"/>
    <w:rsid w:val="00A54A52"/>
    <w:rsid w:val="00A573B2"/>
    <w:rsid w:val="00A60741"/>
    <w:rsid w:val="00A60A1A"/>
    <w:rsid w:val="00A655DD"/>
    <w:rsid w:val="00A66F40"/>
    <w:rsid w:val="00A67094"/>
    <w:rsid w:val="00A75CBB"/>
    <w:rsid w:val="00A77B5B"/>
    <w:rsid w:val="00A87C96"/>
    <w:rsid w:val="00A922DD"/>
    <w:rsid w:val="00A96145"/>
    <w:rsid w:val="00AA6225"/>
    <w:rsid w:val="00AC405C"/>
    <w:rsid w:val="00AC541B"/>
    <w:rsid w:val="00AD3FDB"/>
    <w:rsid w:val="00AD6D2D"/>
    <w:rsid w:val="00AD6E70"/>
    <w:rsid w:val="00AE2F9C"/>
    <w:rsid w:val="00AF1BD7"/>
    <w:rsid w:val="00AF6984"/>
    <w:rsid w:val="00B000BF"/>
    <w:rsid w:val="00B0069F"/>
    <w:rsid w:val="00B05F9B"/>
    <w:rsid w:val="00B07750"/>
    <w:rsid w:val="00B25484"/>
    <w:rsid w:val="00B26DAF"/>
    <w:rsid w:val="00B37EF0"/>
    <w:rsid w:val="00B403D4"/>
    <w:rsid w:val="00B445F0"/>
    <w:rsid w:val="00B47404"/>
    <w:rsid w:val="00B56697"/>
    <w:rsid w:val="00B56CA3"/>
    <w:rsid w:val="00B6652B"/>
    <w:rsid w:val="00B66ACA"/>
    <w:rsid w:val="00B7102A"/>
    <w:rsid w:val="00B77CD9"/>
    <w:rsid w:val="00B8001F"/>
    <w:rsid w:val="00B9651E"/>
    <w:rsid w:val="00BA305E"/>
    <w:rsid w:val="00BB1C02"/>
    <w:rsid w:val="00BC2924"/>
    <w:rsid w:val="00BD0B5F"/>
    <w:rsid w:val="00BD5DC8"/>
    <w:rsid w:val="00BD7CB3"/>
    <w:rsid w:val="00BE0323"/>
    <w:rsid w:val="00BE60C8"/>
    <w:rsid w:val="00BE63FB"/>
    <w:rsid w:val="00BF1392"/>
    <w:rsid w:val="00BF6081"/>
    <w:rsid w:val="00BF6386"/>
    <w:rsid w:val="00C03D39"/>
    <w:rsid w:val="00C127CC"/>
    <w:rsid w:val="00C12A78"/>
    <w:rsid w:val="00C169C9"/>
    <w:rsid w:val="00C25AC0"/>
    <w:rsid w:val="00C26D6F"/>
    <w:rsid w:val="00C27819"/>
    <w:rsid w:val="00C33A49"/>
    <w:rsid w:val="00C4191C"/>
    <w:rsid w:val="00C42739"/>
    <w:rsid w:val="00C45F05"/>
    <w:rsid w:val="00C464B3"/>
    <w:rsid w:val="00C4696F"/>
    <w:rsid w:val="00C47611"/>
    <w:rsid w:val="00C47F61"/>
    <w:rsid w:val="00C5018B"/>
    <w:rsid w:val="00C535F5"/>
    <w:rsid w:val="00C55BF0"/>
    <w:rsid w:val="00C65264"/>
    <w:rsid w:val="00C738E2"/>
    <w:rsid w:val="00C74BCA"/>
    <w:rsid w:val="00C83F73"/>
    <w:rsid w:val="00C843FD"/>
    <w:rsid w:val="00C8576B"/>
    <w:rsid w:val="00C91A1A"/>
    <w:rsid w:val="00C94666"/>
    <w:rsid w:val="00C948B9"/>
    <w:rsid w:val="00C966F8"/>
    <w:rsid w:val="00CA2D02"/>
    <w:rsid w:val="00CA3567"/>
    <w:rsid w:val="00CA5551"/>
    <w:rsid w:val="00CB7877"/>
    <w:rsid w:val="00CC0D3C"/>
    <w:rsid w:val="00CE0876"/>
    <w:rsid w:val="00CF28A8"/>
    <w:rsid w:val="00CF4ED2"/>
    <w:rsid w:val="00CF76A0"/>
    <w:rsid w:val="00D05650"/>
    <w:rsid w:val="00D0758C"/>
    <w:rsid w:val="00D07D88"/>
    <w:rsid w:val="00D07E98"/>
    <w:rsid w:val="00D17532"/>
    <w:rsid w:val="00D20D89"/>
    <w:rsid w:val="00D22AB5"/>
    <w:rsid w:val="00D25A0D"/>
    <w:rsid w:val="00D2787F"/>
    <w:rsid w:val="00D27BBA"/>
    <w:rsid w:val="00D37CEB"/>
    <w:rsid w:val="00D42A2F"/>
    <w:rsid w:val="00D44A49"/>
    <w:rsid w:val="00D51A8B"/>
    <w:rsid w:val="00D541C0"/>
    <w:rsid w:val="00D7287F"/>
    <w:rsid w:val="00D941A7"/>
    <w:rsid w:val="00D963F5"/>
    <w:rsid w:val="00D96D7B"/>
    <w:rsid w:val="00D977BE"/>
    <w:rsid w:val="00DB1C4C"/>
    <w:rsid w:val="00DB2E0E"/>
    <w:rsid w:val="00DB6FD6"/>
    <w:rsid w:val="00DC048B"/>
    <w:rsid w:val="00DE15EE"/>
    <w:rsid w:val="00E00717"/>
    <w:rsid w:val="00E041A8"/>
    <w:rsid w:val="00E21C76"/>
    <w:rsid w:val="00E36E53"/>
    <w:rsid w:val="00E43065"/>
    <w:rsid w:val="00E455CD"/>
    <w:rsid w:val="00E75A33"/>
    <w:rsid w:val="00E83EB6"/>
    <w:rsid w:val="00E84FD5"/>
    <w:rsid w:val="00E86714"/>
    <w:rsid w:val="00E86F14"/>
    <w:rsid w:val="00E91092"/>
    <w:rsid w:val="00EA334E"/>
    <w:rsid w:val="00EB3696"/>
    <w:rsid w:val="00EB4211"/>
    <w:rsid w:val="00EC41A7"/>
    <w:rsid w:val="00EC762D"/>
    <w:rsid w:val="00ED482C"/>
    <w:rsid w:val="00ED70BF"/>
    <w:rsid w:val="00EE3628"/>
    <w:rsid w:val="00EE3C0F"/>
    <w:rsid w:val="00EF0D0E"/>
    <w:rsid w:val="00F2088D"/>
    <w:rsid w:val="00F212A4"/>
    <w:rsid w:val="00F26B39"/>
    <w:rsid w:val="00F27165"/>
    <w:rsid w:val="00F335BB"/>
    <w:rsid w:val="00F36013"/>
    <w:rsid w:val="00F40D04"/>
    <w:rsid w:val="00F42C6D"/>
    <w:rsid w:val="00F438F1"/>
    <w:rsid w:val="00F50558"/>
    <w:rsid w:val="00F55614"/>
    <w:rsid w:val="00F60855"/>
    <w:rsid w:val="00F642AD"/>
    <w:rsid w:val="00F65588"/>
    <w:rsid w:val="00F66B87"/>
    <w:rsid w:val="00F7108B"/>
    <w:rsid w:val="00F75846"/>
    <w:rsid w:val="00F76AA6"/>
    <w:rsid w:val="00F81587"/>
    <w:rsid w:val="00F93BB2"/>
    <w:rsid w:val="00FA3359"/>
    <w:rsid w:val="00FA6BEA"/>
    <w:rsid w:val="00FB1BCA"/>
    <w:rsid w:val="00FB3545"/>
    <w:rsid w:val="00FB38A9"/>
    <w:rsid w:val="00FB7240"/>
    <w:rsid w:val="00FB7639"/>
    <w:rsid w:val="00FD7595"/>
    <w:rsid w:val="00FD772C"/>
    <w:rsid w:val="00FE0B6A"/>
    <w:rsid w:val="00FE580C"/>
    <w:rsid w:val="00FF62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5282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2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0758C"/>
    <w:pPr>
      <w:spacing w:after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29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D52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29C"/>
    <w:rPr>
      <w:rFonts w:ascii="Times New Roman" w:hAnsi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FB1BCA"/>
  </w:style>
  <w:style w:type="character" w:customStyle="1" w:styleId="QuoteChar">
    <w:name w:val="Quote Char"/>
    <w:basedOn w:val="DefaultParagraphFont"/>
    <w:link w:val="Quote"/>
    <w:uiPriority w:val="29"/>
    <w:rsid w:val="00FB1BCA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76A0"/>
    <w:pPr>
      <w:widowControl w:val="0"/>
      <w:autoSpaceDE w:val="0"/>
      <w:autoSpaceDN w:val="0"/>
      <w:adjustRightInd w:val="0"/>
      <w:spacing w:after="0"/>
    </w:pPr>
    <w:rPr>
      <w:rFonts w:ascii="Times New Roman" w:eastAsia="Cambria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ED70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ED70BF"/>
  </w:style>
  <w:style w:type="character" w:customStyle="1" w:styleId="CommentTextChar">
    <w:name w:val="Comment Text Char"/>
    <w:basedOn w:val="DefaultParagraphFont"/>
    <w:link w:val="CommentText"/>
    <w:uiPriority w:val="99"/>
    <w:rsid w:val="00ED70BF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D70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D70BF"/>
    <w:rPr>
      <w:rFonts w:ascii="Times New Roman" w:hAnsi="Times New Roman"/>
      <w:b/>
      <w:bCs/>
      <w:sz w:val="20"/>
      <w:szCs w:val="20"/>
    </w:rPr>
  </w:style>
  <w:style w:type="character" w:customStyle="1" w:styleId="il">
    <w:name w:val="il"/>
    <w:basedOn w:val="DefaultParagraphFont"/>
    <w:rsid w:val="00D0758C"/>
  </w:style>
  <w:style w:type="character" w:styleId="Hyperlink">
    <w:name w:val="Hyperlink"/>
    <w:basedOn w:val="DefaultParagraphFont"/>
    <w:unhideWhenUsed/>
    <w:rsid w:val="00D0758C"/>
    <w:rPr>
      <w:color w:val="00C8C3" w:themeColor="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F335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335BB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F335B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15732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rsid w:val="00C12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independent.co.uk/news/uk/home-news/oxfam-latest-sex-scandal-prostitution-rape-children-haiti-warned-2008-save-the-children-a8214781.html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chrgj.org/wp-content/uploads/2016/08/G-A7140823.pdf" TargetMode="External"/><Relationship Id="rId11" Type="http://schemas.openxmlformats.org/officeDocument/2006/relationships/hyperlink" Target="https://www.npr.org/2016/06/16/482020436/senators-report-finds-fundamental-concerns-about-red-cross-finances" TargetMode="External"/><Relationship Id="rId12" Type="http://schemas.openxmlformats.org/officeDocument/2006/relationships/hyperlink" Target="http://www.alliancemagazine.org/blog/applying-human-rights-principles-disaster-response/" TargetMode="External"/><Relationship Id="rId13" Type="http://schemas.openxmlformats.org/officeDocument/2006/relationships/hyperlink" Target="http://www.alliancemagazine.org/blog/applying-human-rights-principles-disaster-response/" TargetMode="External"/><Relationship Id="rId14" Type="http://schemas.openxmlformats.org/officeDocument/2006/relationships/hyperlink" Target="http://www.ijdh.org/2011/01/topics/economy/cheaper-better-longer-lasting-a-rights-based-approach-to-disaster-response-in-haiti/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aljazeera.com/indepth/opinion/ngos-allowed-operate-law-180222110609515.html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hchr.org/Documents/Publications/GuidingPrinciplesBusinessHR_EN.pdf" TargetMode="External"/><Relationship Id="rId4" Type="http://schemas.openxmlformats.org/officeDocument/2006/relationships/hyperlink" Target="http://www.pseataskforce.org/uploads/tools/1351822689.pdf" TargetMode="External"/><Relationship Id="rId5" Type="http://schemas.openxmlformats.org/officeDocument/2006/relationships/hyperlink" Target="http://www.unhcr.org/en-us/protection/operations/405ac6614/secretary-generals-bulletin-special-measures-protection-sexual-exploitation.html" TargetMode="External"/><Relationship Id="rId1" Type="http://schemas.openxmlformats.org/officeDocument/2006/relationships/hyperlink" Target="https://interagencystandingcommittee.org/system/files/best_practice_guide_-_with_inside_cover_online.pdf" TargetMode="External"/><Relationship Id="rId2" Type="http://schemas.openxmlformats.org/officeDocument/2006/relationships/hyperlink" Target="https://interagencystandingcommittee.org/protection-sexual-exploitation-and-abuse/documents-public/guidelines-implement-minimum-operati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chnic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4803-0223-DE47-BD48-C6868A9F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1875</Words>
  <Characters>10688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IJDH</Company>
  <LinksUpToDate>false</LinksUpToDate>
  <CharactersWithSpaces>12538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Blaine Bookey</dc:creator>
  <cp:lastModifiedBy>Microsoft Office User</cp:lastModifiedBy>
  <cp:revision>2</cp:revision>
  <cp:lastPrinted>2011-02-27T03:14:00Z</cp:lastPrinted>
  <dcterms:created xsi:type="dcterms:W3CDTF">2018-03-21T15:15:00Z</dcterms:created>
  <dcterms:modified xsi:type="dcterms:W3CDTF">2018-03-21T15:15:00Z</dcterms:modified>
</cp:coreProperties>
</file>